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ZD15.007080 vom 11. Februar 2016</w:t>
      </w:r>
    </w:p>
    <w:p>
      <w:r>
        <w:t>VD Tribunal cantonal, 2016-02-11, FR</w:t>
      </w:r>
    </w:p>
    <w:p>
      <w:r>
        <w:rPr>
          <w:b/>
        </w:rPr>
        <w:t xml:space="preserve">Quelle: </w:t>
      </w:r>
      <w:r>
        <w:t>https://mcp.opencaselaw.ch/entscheid/vd_gerichte_ZD15.007080</w:t>
      </w:r>
    </w:p>
    <w:p>
      <w:r>
        <w:t>FR: VD_GERICHTE ZD15.007080 du 11 février 2016</w:t>
      </w:r>
    </w:p>
    <w:p>
      <w:r>
        <w:t>IT: VD_GERICHTE ZD15.007080 del 11 febbraio 2016</w:t>
      </w:r>
    </w:p>
    <w:p>
      <w:pPr>
        <w:pStyle w:val="Heading2"/>
      </w:pPr>
      <w:r>
        <w:t>Erwägungen</w:t>
      </w:r>
    </w:p>
    <w:p>
      <w:r>
        <w:rPr>
          <w:b/>
        </w:rPr>
        <w:t>E. 4</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w:t>
      </w:r>
    </w:p>
    <w:p>
      <w:r>
        <w:t>- 22 -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w:t>
      </w:r>
    </w:p>
    <w:p>
      <w:r>
        <w:rPr>
          <w:b/>
        </w:rPr>
        <w:t>E. 5</w:t>
      </w:r>
    </w:p>
    <w:p>
      <w:r>
        <w:t>a) En l’espèce, pour déterminer la capacité résiduelle de travail du recourant, l’OAI s’est notamment fondé sur le rapport d’expertise du Dr C.________ du 4 août 2014, duquel il ressort que l’assuré présente sur le plan psychiatrique une incapacité de travail et de gain de 50 % dans toute activité lucrative depuis 2008. Il convient de reconnaître à cette expertise circonstanciée et dont les conclusions sont claires une pleine valeur probante. Sur le plan physique, la capacité résiduelle de travail de l’assuré est de 50 % depuis novembre 2009 dans une activité adaptée respectant ses limitations fonctionnelles, selon les constatations du Dr X.________ exposées dans son rapport du 13 janvier 2011. Les conclusions de ce médecin peuvent être suivies, dans la mesure où son rapport remplit les réquisits jurisprudentiels en la matière et qu’il n’existe pas de péjoration établie sur le plan physique depuis 2011. Elles sont en outre confirmées par le Dr C.________, qui souligne dans son rapport d’expertise du 4 août 2014 qu’il est raisonnablement exigible que l’assuré travaille à hauteur de 50 % dans une activité qui respecterait ses limitations physiques. À cet égard, le Dr X.________ souligne qu’une activité semi-sédentaire peut être envisagée. Quant à l’autorité intimée, elle est d’avis qu’au vu des limitations fonctionnelles psychiatriques, une démarche de formation ne serait pas adéquate. Selon elle, il faudrait mettre en valeur les connaissances et les compétences antérieures en électricité du recourant, domaine dans lequel il possède un CFC, tout en tenant compte des limitations somatiques. Des activités en atelier, pour des montages électriques, électropneumatiques ou électromécaniques ainsi que des travaux de maintenance seraient possibles (cf. note d’entretien avec l’assuré du 4 décembre 2014).</w:t>
      </w:r>
    </w:p>
    <w:p>
      <w:r>
        <w:t>- 23 - Dans un tel cas, soit lorsque la capacité résiduelle de travail de l’assuré est la même aussi bien dans son activité habituelle que dans son activité adaptée, le degré d’invalidité se confond avec celui de l’incapacité de travail (cf. supra consid. 3d). C’est ainsi à juste titre que l’intimé a retenu un taux d’invalidité de 50 %. b) L’intimé a également fait une application correcte des dispositions relatives au début du droit à la rente. Celui-ci a pris naissance après le délai d’attente d’une année, soit le 1er décembre 2009 (cf. supra consid. 3 b). Cependant, dans la mesure où la demande de prestations n’a été déposée que le 4 novembre 2009, la rente ne pouvait être versée qu’à partir de l’échéance du délai de six mois de l’art. 29 al. 1 LAI, soit à compter du 1er mai 2010. La décision de l’intimé n’est donc pas non plus critiquable sous cet angle. c) Il convient d’ajouter que dans ses écritures, le recourant n’apporte aucun élément susceptible d’indiquer que l’intimé aurait mal instruit son dossier ou mal appliqué le droit, tant s’agissant du degré d’invalidité que du début du droit à la rente. Il ne ressort nullement de l’examen de la cause que tel serait le cas. Le recours se révèle par conséquent mal fondé et doit être rejeté, ce qui entraîne la confirmation de la décision entreprise.</w:t>
      </w:r>
    </w:p>
    <w:p>
      <w:r>
        <w:rPr>
          <w:b/>
        </w:rPr>
        <w:t>E. 6</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w:t>
      </w:r>
    </w:p>
    <w:p>
      <w:r>
        <w:t>- 24 -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