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ZD15.005089 vom 2. Mai 2016</w:t>
      </w:r>
    </w:p>
    <w:p>
      <w:r>
        <w:t>VD Tribunal cantonal, 2016-05-02, FR</w:t>
      </w:r>
    </w:p>
    <w:p>
      <w:r>
        <w:rPr>
          <w:b/>
        </w:rPr>
        <w:t xml:space="preserve">Quelle: </w:t>
      </w:r>
      <w:r>
        <w:t>https://mcp.opencaselaw.ch/entscheid/vd_gerichte_ZD15.005089</w:t>
      </w:r>
    </w:p>
    <w:p>
      <w:r>
        <w:t>FR: VD_GERICHTE ZD15.005089 du 2 mai 2016</w:t>
      </w:r>
    </w:p>
    <w:p>
      <w:r>
        <w:t>IT: VD_GERICHTE ZD15.005089 del 2 maggio 2016</w:t>
      </w:r>
    </w:p>
    <w:p>
      <w:pPr>
        <w:pStyle w:val="Heading2"/>
      </w:pPr>
      <w:r>
        <w:t>Erwägungen</w:t>
      </w:r>
    </w:p>
    <w:p>
      <w:r>
        <w:rPr>
          <w:b/>
        </w:rPr>
        <w:t>E. 1</w:t>
      </w:r>
    </w:p>
    <w:p>
      <w:r>
        <w:t>a) Les dispositions de la LPGA (loi fédérale du 6 octobre 2000 sur la partie générale du droit des assurances sociales; RS 830.1) s’appliquent à l’AI (cf. art. 1 LAI). Les décisions sur opposition et celles contre lesquelles la voie de l’opposition n’est pas ouverte – ce qui est le cas des décisions en matière d’AI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et selon les formes prescrites par la loi (cf. art. 61 let. b LPGA), le recours est recevable. Il y a donc lieu d'entrer en matière.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- 20 - des liens étroits avec la question litigieuse (cf. ATF 131 V 164, 125 V 413 consid. 2c et 110 V 48 consid. 4a ; cf. RCC 1985 p. 53). b) Est litigieux en l’espèce le point de savoir si l’intimé était fondé à nier le droit à la réadaptation et à la rente du recourant par décision du 14 janvier 2015, compte tenu du fait que, par son comportement, l’intéressé s'opposait à une mesure de reclassement professionnel.</w:t>
      </w:r>
    </w:p>
    <w:p>
      <w:r>
        <w:rPr>
          <w:b/>
        </w:rPr>
        <w:t>E. 3</w:t>
      </w:r>
    </w:p>
    <w:p>
      <w:r>
        <w:t>a) Est réputée invalidité l’incapacité de gain totale ou partielle qui est présumée permanente ou de longue durée, résultant d’une infirmité congénitale, d’une maladie ou d’un accident (art. 8 al. 1 LPGA;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l’article 16 LPGA, pour évaluer le taux d’invalidité, le revenu que l’assuré aurait pu obtenir s’il n’était pas invalide est comparé avec celui qu’il pourrait obtenir en exerçant l’activité qui peut</w:t>
      </w:r>
    </w:p>
    <w:p>
      <w:r>
        <w:t>- 21 - raisonnablement être exigée de lui après les traitements et les mesures de réadaptation, sur un marché du travail équilibré. Selon l’article 28 al. 2 LAI, un taux d’invalidité de 40 % au moins donne droit à un quart de rente, un taux d’invalidité de 50 % au moins donne droit à une demie rente, un taux d’invalidité de 60 % au moins donne droit à trois-quarts de rente et un taux d’invalidité de 70 % au moins donne droit à une rente entière. b) Selon le principe inquisitoire, qui régit la procédure dans le domaine des assurances sociales, les faits pertinents de la cause doivent être constatés d’office par l’assureur, à qui il appartient de prendre les mesures d’instruction nécessaires et de recueillir les renseignements dont il a besoin (art. 43 al. 1 LPGA).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TF I 562/06 du 25 juillet 2007 consid. 2.1; TFA I 274/05 du 21 mars 2006 consid. 1.2).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w:t>
      </w:r>
    </w:p>
    <w:p>
      <w:r>
        <w:t>- 22 -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TF 9C_104/2014 du 10 mai 2014 consid. 4.1).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précité consid. 3b/cc; TF 9C_616/2007 du 8 septembre 2008 consid. 2). Quant aux rapports des médecins des assureurs et notamment du SMR, ceux-ci peuvent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précité consid. 3b/ee ; TF 8C_862/2008 du 19 août 2009 consid. 4.2). Il est toutefois précisé qu’en cas de divergence avec les autres avis médicaux probants figurant au dossier, une expertise externe doit être mise en oeuvre conformément à l’art. 44 LPGA (cf. ATF 137 V 210 consid. 1.1 in fine, avec les références, ainsi que l’ATF 135 V 465 consid. 4.4). Il en va de même en cas de simple doute sur la fiabilité ou pertinence des constatations des médecins internes à l’assureur (ATF 135 V 465 précité consid. 4.4 : "Bestehen auch nur geringe Zweifel […]").</w:t>
      </w:r>
    </w:p>
    <w:p>
      <w:r>
        <w:t>- 23 -</w:t>
      </w:r>
    </w:p>
    <w:p>
      <w:r>
        <w:rPr>
          <w:b/>
        </w:rPr>
        <w:t>E. 4</w:t>
      </w:r>
    </w:p>
    <w:p>
      <w:r>
        <w:t>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Selon cette disposition toujours, une mise en demeure écrite l'avertissant des conséquences juridiques et lui impartissant un délai de réflexion convenable doit lui avoir été adressée. D'après la jurisprudence, cette procédure est un préalable impératif avant tout refus de prestations en application de l'art. 21 al. 4 LPGA (SVR 2005 IV no 30 p. 113). Il doit, d'autre part, exister un lien de causalité entre le comportement reproché et le dommage susceptible d'être causé à l'assurance (voir Ueli Kieser, ATSG-Kommentar, note 75 ad art. 21). En vertu de l'art. 7b al. 1 LAI, si l'assuré a manqué aux obligations prévues à l'art. 7 de cette même loi (de même qu'à celles découlant de l'art. 43 al. 2 LPGA), les prestations peuvent être réduites ou refusées conformément à l'art. 21 al. 4 LPGA. Le sens et le but de la procédure de mise en demeure prescrite à l'art. 21 al. 4 LPGA est de rendre l'assuré attentif aux conséquences négatives possibles d'une attitude réticente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(cf. ATF 134 V 189 consid. 2.3; TF 8C_525/2009 du 18 mai 2010 consid. 3.2.1; TF I 552/06 du 13 juin 2007 consid. 4.1; TFA I 605/04 du 11 janvier 2005 consid. 2 et les références, publié in SVR 2005 IV n° 30 p. 113). Cette procédure est un préalable impératif avant tout refus ou suppression de prestations (cf. Valterio, op. cit., n° 1273 p. 353 et les références citées; cf. dans le même sens Ueli Kieser, ATSG Kommentar, 2ème éd., Zurich/Bâle/Genève 2009, n° 89 ad art. 21 LPGA, p. 298). L’art. 7a LAI introduit lors de la 5e révision de l’AI formule le principe selon lequel toute mesure servant à la réadaptation</w:t>
      </w:r>
    </w:p>
    <w:p>
      <w:r>
        <w:t>- 24 - de l’assuré est raisonnablement exigible à l’exception de celles qui ne sont pas adaptées à son état de santé. En effet, les traitements et les mesures de réadaptation qui présentent un danger pour la vie ou pour la santé ne peuvent être exigés.</w:t>
      </w:r>
    </w:p>
    <w:p>
      <w:r>
        <w:rPr>
          <w:b/>
        </w:rPr>
        <w:t>E. 5</w:t>
      </w:r>
    </w:p>
    <w:p>
      <w:r>
        <w:t>Le recourant fait valoir que c'est en raison d'une aggravation de son état de santé (douleurs) qu'il n'a pu poursuivre la mesure de réadaptation et donner suite à la sommation. Il se réfère sur ce point aux rapports médicaux de son médecin traitant qui le déclarent en incapacité totale de travail depuis le 1er mars 2013. Il fait grief à l'intimé de se référer à l'expertise rhumatologique du Dr N.________, qui date de 2011, qui est "obsolète" selon lui et de n'avoir procédé à aucun examen médical avant de rendre la décision contestée. a) Contrairement à ce que prétend le recourant, l'expertise rhumatologique du Dr N.________ du 30 mai 2011 garde toute son actualité pour déterminer la capacité de travail de l'assuré et le caractère raisonnablement exigible d'une mesure de réadaptation professionnelle. En effet, cette expertise retenait déjà comme diagnostics des lombalgies chroniques spécifiques et une obésité de classe II, faisait état des plaintes de l'assuré quant aux douleurs ressenties et concluait que, dans une activité adaptée respectant les limitations fonctionnelles (pas de port de charges de plus de 15 kg ni de position de porte-à-faux, nécessité de pouvoir alterne les positions toutes les 30 minutes entre la position assise et debout), la capacité de travail était de 100% depuis le mois de novembre 2010. Par ailleurs, le Dr N.________ estimait que l'assuré était tout à fait en mesure de suivre des mesures de réadaptation professionnelle. Par ailleurs, l'expertise rhumatologique répond en tous points aux critères fixés par la jurisprudence pour lui reconnaître valeur probante, en ce sens que les points litigieux ont fait l'objet d'une étude circonstanciée, que le rapport se fonde sur des examens complets, qu'il prend en considération les plaintes du recourant, a été établi en pleine connaissance du dossier, que la description du contexte médical et l'appréciation de la situation médicale sont claires et enfin que les conclusions sont dûment motivées. La Cour de céans fait siennes ces</w:t>
      </w:r>
    </w:p>
    <w:p>
      <w:r>
        <w:t>- 25 - dernières. Au surplus, il convient de relever que les rapports médicaux du Dr I.________, notamment ceux des 7 mars 2013 et 3 février 2014, qui concluent à une incapacité totale de travail de l'assuré en raison d'épisodes douloureux itératifs dans le contexte d'un déconditionnement musculaire et d'une obésité morbide, n'apportent aucun élément médical nouveau susceptible de remettre en question l'appréciation médicale du DrN.________ d'une part et ne reposent sur aucun facteur objectif mais uniquement sur les dires du recourant. Cela étant, le grief du recourant est infondé. b) En ce qui concerne la question de savoir si l'intimé était légitimé à lui refuser le droit à des prestations d'invalidité, il faut relever tout d'abord, comme on l'a vu au considérant 5a ci-dessus qu'il présente une capacité de travail complète depuis novembre 2010 dans une activité adaptée. La mesure de réadaptation professionnelle mise en place par l'intimé, à savoir une formation d'employé de commerce auprès de l'Orif, est par ailleurs approprié à l’état de santé du recourant puisqu'elle respecte les limitations fonctionnelles décrites dans le rapport d'expertise du Dr N.________ (pas de port de charges de plus de 15 kg, pas de position de porte-à-faux, la possibilité de changer de position de la position assise à la position debout toutes les 30 minutes). Il n'est pas inutile de rappeler que dite mesure avait été suspendue pour permettre à l’assuré de subir une intervention chirurgicale (bypass gastrique). Cette opération n’a pas eu lieu. Mais, le J.________ a indiqué que l’assuré, qui avait perdu du poids, pouvait reprendre sa formation, aucune intervention n’était prévue (note téléphonique du 24 juillet 2014 selon laquelle l'assuré lui-même a informé l'OAI que la doctoresse en charge de son cas était d'avis qu'il n'y avait pas de soucis pour qu'il entreprenne son "stage", aucune opération n'étant envisagée en l'état). Le reclassement du recourant en tant qu’employé de commerce aurait permis de diminuer le dommage causé à l'assurance- invalidité. A la suite d'un avis SMR du 24 juillet 2014, il était prévu que la reprise de la formation se fasse en douceur, à raison d'un 50 % les trois premiers mois. Il ressort d'une note téléphonique du 14 août 2014 que l'assuré s'est montré surpris que la reprise de la formation soit prévue pour le lundi suivant, exposant en outre qu'il avait des cours au J.________</w:t>
      </w:r>
    </w:p>
    <w:p>
      <w:r>
        <w:t>- 26 - concernant son problème de poids. D.________ explique qu'il a senti l'assuré moins motivé que lors de leur entretien du 16 juillet précédent. Le 18 août 2014, le recourant a indiqué ne plus se sentir capable de suivre sa formation après deux heures de stage et a fourni une attestation médicale d’arrêt jusqu’au 30 septembre 2014. Le 20 août 2014, le recourant a été sommé de reprendre sa formation au plus tard le 1er septembre 2014 et de collaborer pleinement tout au long de celle-ci. Le recourant n’a pas donné suite à cette sommation. Dans ces conditions, il y a lieu d'admettre que l’OAI était en droit de mettre fin à la mesure de réorientation et de déterminer le degré d'invalidité, soit la perte économique par la méthode théorique. La Cour de céans fait siens les motifs indiqués dans la lettre de sommation du 20 août 2014. En ce qui concerne le calcul du degré d'invalidité auquel l'intimé a procédé, il suffit de constater qu'il est correct et peut ainsi être confirmé. Cela étant, le recourant n'a droit à aucune rente d'invalidité.</w:t>
      </w:r>
    </w:p>
    <w:p>
      <w:r>
        <w:rPr>
          <w:b/>
        </w:rPr>
        <w:t>E. 6</w:t>
      </w:r>
    </w:p>
    <w:p>
      <w:r>
        <w:t>Vu ce qui précède, le recours, mal fondé, doit être rejeté et la décision du 14 janvier 2015 confirmée. a) La procédure est onéreuse;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w:t>
      </w:r>
    </w:p>
    <w:p>
      <w:r>
        <w:t>- 27 - du recourant, qui succombe (art. 69 al. 1bis LAI; art. 49 al. 1 LPA-VD). Toutefois, dès lors que ce dernier est au bénéfice de l'assistance judiciaire, ces frais sont laissés provisoirement à la charge de l'Etat. Il n'y a au demeurant pas lieu d'allouer de dépens, le recourant n'obtenant pas gain de cause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