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ZD14.051291 vom 25. Februar 2016</w:t>
      </w:r>
    </w:p>
    <w:p>
      <w:r>
        <w:t>VD Tribunal cantonal, 2016-02-25, FR</w:t>
      </w:r>
    </w:p>
    <w:p>
      <w:r>
        <w:rPr>
          <w:b/>
        </w:rPr>
        <w:t xml:space="preserve">Quelle: </w:t>
      </w:r>
      <w:r>
        <w:t>https://mcp.opencaselaw.ch/entscheid/vd_gerichte_ZD14.051291</w:t>
      </w:r>
    </w:p>
    <w:p>
      <w:r>
        <w:t>FR: VD_GERICHTE ZD14.051291 du 25 février 2016</w:t>
      </w:r>
    </w:p>
    <w:p>
      <w:r>
        <w:t>IT: VD_GERICHTE ZD14.051291 del 25 febbraio 2016</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cf. ég. TF 9C_441/2008 du 10 juin 2009, consid. 2 et 9C_197/2007 du 27 mars 2008, consid. 1.2). b) La question litigieuse porte sur le droit du recourant à une rente AI.</w:t>
      </w:r>
    </w:p>
    <w:p>
      <w:r>
        <w:rPr>
          <w:b/>
        </w:rPr>
        <w:t>E. 3</w:t>
      </w:r>
    </w:p>
    <w:p>
      <w:r>
        <w:t>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w:t>
      </w:r>
    </w:p>
    <w:p>
      <w:r>
        <w:t>- 21 - incapacité de travail d'au moins 40% en moyenne durant une année sans interruption notable et si au terme de cette année, il est invalide à 40% au moins (art. 28 al. 1 LAI). L’art. 28 al. 2 LAI prévoit que le droit à la rente est échelonné, en ce sens que l’assuré a droit à un quart de rente de l’assurance-invalidité pour un taux d’invalidité de 40% au moins, à une demi-rente pour un taux d’invalidité de 50% au moins, à trois quarts de rente pour un taux d’invalidité de 60% au moins et à une rente entière pour un taux d’invalidité de 70% au moins.</w:t>
      </w:r>
    </w:p>
    <w:p>
      <w:r>
        <w:rPr>
          <w:b/>
        </w:rPr>
        <w:t>E. 4</w:t>
      </w:r>
    </w:p>
    <w:p>
      <w:r>
        <w:t>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 TF 9C_618/2014 du 9 janvier 2015 consid. 5.2, 9C_706/2012 du 1er juillet 2013 consid. 3.2 et 9C_960/2009 du 24 février 2010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w:t>
      </w:r>
    </w:p>
    <w:p>
      <w:r>
        <w:t>- 22 - limitations liées à la maladie psychique et à la dépendance (TF 9C_618/2014 du 9 janvier 2015 consid. 5.2 ; sur l’ensemble de la question, cf. arrêt I 169/2006 du 8 août 2006 consid. 2.2 et les arrêts cités).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du 15 avril 2008 consid. 2.3 et la référence citée ; Thonney/Gammeter, Alcool: problèmes psychiatriques courants. « La boîte à outils du praticien », Revue médicale de la Suisse romande, 2004; 124: p. 415 ss; Roland Gammeter, Comorbidités psychiatriques associées à la dépendance à l’alcool, Forum Med Suisse, 2002; 23: p. 562 ss; Shivani/Goldsmith/Anthenelli, Alcoholism and psychiatric disorder: diagnostic challenges, Alcohol Research &amp; Health, 2002; 26(2): p. 90 ss; Christine Davidson, Identification et traitement des comorbidités psychiatriques associées à l’alcoolodépendance, Praxis 1999; 88: p. 1720).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w:t>
      </w:r>
    </w:p>
    <w:p>
      <w:r>
        <w:t>- 23 -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(cf. arrêt I 731/2002 du 25 juillet 2003 consid. 2.3).</w:t>
      </w:r>
    </w:p>
    <w:p>
      <w:r>
        <w:rPr>
          <w:b/>
        </w:rPr>
        <w:t>E. 5</w:t>
      </w:r>
    </w:p>
    <w:p>
      <w:r>
        <w:t>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RCC 1980 p. 263; Pratique VSI 2002 p. 64; TF 9C_58/2013 du 22 mai 2013 consid. 3.1,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8C_368/2013 du 25 février 2014 consid. 4.2.4, 9C_137/2013 du 22 juillet 2013 consid. 3.1,</w:t>
      </w:r>
    </w:p>
    <w:p>
      <w:r>
        <w:t>- 24 - 9C_1001/2012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consid. 3.1, 9C_66/2013 du 1er juillet 2013 consid. 4, 9C_603/2009 du 2 février 2010 consid. 3.1, 8C_658/2008 et 8C_662/2008 du 23 mars 2009 consid. 3.3.1).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w:t>
      </w:r>
    </w:p>
    <w:p>
      <w:r>
        <w:rPr>
          <w:b/>
        </w:rPr>
        <w:t>E. 6</w:t>
      </w:r>
    </w:p>
    <w:p>
      <w:r>
        <w:t>a) En l’espèce, sur le plan somatique, le Dr X.________ a posé en mai 2014, les diagnostics avec répercussion sur la capacité de travail de lombalgies chroniques persistantes sur troubles statiques et dégénératifs rachidiens, de discopathies L3-L4, L4-L5, L5-S1 avec canal lombaire étroit dégénératif, de gonarthrose bilatérale et de possible conflit</w:t>
      </w:r>
    </w:p>
    <w:p>
      <w:r>
        <w:t>- 25 - sous-acromial de l’épaule gauche. Dans son appréciation, cet examinateur se fonde notamment sur des IRM datant de 2005 et 2012, cette dernière mettant en évidence la présence de hernies discales L4-L5 et L5-S1 ainsi qu’un canal lombaire étroit en L3-L4, l’assuré souffrant par ailleurs de gonalgies. Il retient également d’un bilan radiographique d’août 2012, une gonarthrose bilatérale. Il suspecte en outre un conflit sous-acromial de l’épaule gauche. Au vu de la persistance des douleurs malgré le traitement conservateur mis en place, le Dr X.________ est d’avis que sur le plan somatique, l’examiné n’est plus en mesure de reprendre son activité habituelle depuis le 28 juin 2012 mais que celui-ci conserve toutefois une capacité de travail à 100% depuis le début de ses problèmes de santé dans une activité adaptée à ses limitations fonctionnelles, à savoir : un travail sédentaire ou semi-sédentaire avec possibilité d’alterner les positions, pas de travaux penché en avant ou en porte-à-faux, pas de marche prolongée, pas de montée et descente fréquente d’escaliers ou de pente, pas de travaux sur terrain irrégulier accroupi ou à genoux, pas de port de charge de plus de 8 kg et pas de travaux avec les bras au-dessus de l’horizontale. Comme le relèvent les Drs W.________ et B.__________, le rapport postérieur du 28 octobre 2014 de la Dresse R.________ ne comporte pas d’élément nouveau objectif en faveur d’une aggravation de l’état de santé ostéo-articulaire susceptible de rediscuter l’exigibilité arrêtée par le Dr X.________. La Dresse R.________ fait part d’une arthrose disséminée rachidienne et des genoux, soit des affections prises en compte par le Dr X.________. L’examen clinique qu’elle décrit ne fait donc que confirmer l’existence de troubles dégénératifs rachidiens au niveau lombaire et des genoux. Il en va de même des radiographies des genoux réalisées par le Dr Z.________ en septembre 2014 et auxquelles la Dresse R.________ se réfère. La Dresse A._________ note seulement l’évocation de signes de coxarthrose au niveau du bassin de l’assuré sans autres anomalies constatées de sorte que son rapport du 6 novembre 2013 ne peut pas être compris comme un argument médical objectif en faveur d’une aggravation de l’état de santé du recourant. Quant au Dr T.________, il retient une incapacité de travail totale dans l’ancienne activité. Dans une</w:t>
      </w:r>
    </w:p>
    <w:p>
      <w:r>
        <w:t>- 26 - activité adaptée, il se limite dans son courrier du 13 août 2014 à mentionner que le recourant ne peut se voir reconnaître une capacité de travail entière dans une activité adaptée telle que définie par l’OAI. Il ne mentionne toutefois pas pour quel motif, ni quel taux serait admissible dans une telle activité. Imprécis et insuffisamment documenté, son avis ne peut être suivi. On ne saurait dès lors s’écarter du rapport des médecins du SMR sur le plan somatique, ses conclusions étant claires et bien documentées. Il a ainsi valeur probante. Dans son rapport du 6 octobre 2015, le Dr Z.________ constate en comparaison avec des clichés du 10 septembre 2014 et du 10 mars 2015, qu’on retrouve à gauche une gonarthrose interne en nette progression actuellement avec un pincement presque complet de l’interligne articulaire et un varus plus marqué que précédemment. Cette constatation est toutefois postérieure à la décision attaquée. Il y a dès lors lieu d’admettre qu’à la date de cette décision, la capacité de travail du recourant était entière dans une activité adaptée. b) Sur le plan psychiatrique, en février et mars 2011, le Dr P.________ a déclaré traiter le recourant depuis plus de trois ans en raison d’un état anxio-dépressif. La Dresse N.________ et le Dr J.________ ont posé le 20 août 2012 le diagnostic de trouble anxio-dépressif. De même, cette praticienne et le Dr L.________ ont à nouveau posé ce diagnostic le 11 avril 2013. Le Dr T.________ retient un état dépressif. Enfin le Dr???.________ pose le diagnostic d’un état anxio-dépressif le 27 avril 2015. La Dresse F.________ ne se prononce pas sur ces diagnostics. Elle n’a procédé à aucune investigation au motif que le tableau clinique prédominant de consommation nocive d’alcool ne le permettait pas. Or, c’était précisément sa tâche que de déterminer si le recourant était atteint d’une affection psychiatrique, dans l’affirmative de préciser laquelle, depuis quand et son impact sur la capacité de travail de celui-ci. En outre, qualifier l’alcoolisme de primaire uniquement parce qu’il a débuté sur un</w:t>
      </w:r>
    </w:p>
    <w:p>
      <w:r>
        <w:t>- 27 - mode festif à la fin de l’adolescence ou au début de l’âge adulte en mentionnant qu’il n’est pas incapacitant pour l’assurance-invalidité apparaît pour le moins sommaire. Il n’est dès lors pas possible à la Cour de céans de statuer en l’état.</w:t>
      </w:r>
    </w:p>
    <w:p>
      <w:r>
        <w:rPr>
          <w:b/>
        </w:rPr>
        <w:t>E. 7</w:t>
      </w:r>
    </w:p>
    <w:p>
      <w:r>
        <w:t>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(Règlement sur l’assurance-invalidité du 17 janvier 1961 ; RS 831.201) précise que si les conditions d’assurance sont remplies, l’office Al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Il dispose à cet égard d’une grande liberté d’appréciation.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8C_787/2013 du 14 février 2014 consid. 3.1 et 8C_364/2007 du 19 novembre 2007 consid. 3.2). Si elle estime que l’état de fait déterminant n’est pas suffisamment établi, ou qu’il existe des doutes sérieux quant à la valeur probante des éléments recueillis, l’administration doit mettre en oeuvre les mesures nécessaires au complément de l’instruction (ATF 132 V 93 consid. 6.4).</w:t>
      </w:r>
    </w:p>
    <w:p>
      <w:r>
        <w:t>- 28 -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arrêt U 571/2006 du 29 mai 2007, consid. 4.2 in SVR 2007 UV n° 33 p. 111; Kieser, ATSG- Kommentar, 2e éd. n. 12 et 17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que lorsque les données recueillies par l’administration en cours d’instruction ne revêtent pas une valeur probante suffisante sur des points décisifs (ATF 137 V 210 consid. 4.4.1.4 et 4.4.1.5).</w:t>
      </w:r>
    </w:p>
    <w:p>
      <w:r>
        <w:t>- 29 - b) En l’espèce, comme indiqué ci-dessus (cf. consid. 6 supra), l’instruction menée par l’intimé sur le plan psychiatrique est lacunaire et ne permet par conséquent pas de trancher le litige à satisfaction de droit. Il convient dès lors d’admettre le recours et de renvoyer la cause à l’OAI pour instruction complémentaire sous la forme d’une expertise psychiatrique (art. 44 LPGA), voire pluridisciplinaire afin de tenir compte de l’évolution de l’état de santé du recourant sur le plan somatique jusqu’à la date de l’expertise à effectuer.</w:t>
      </w:r>
    </w:p>
    <w:p>
      <w:r>
        <w:rPr>
          <w:b/>
        </w:rPr>
        <w:t>E. 8</w:t>
      </w:r>
    </w:p>
    <w:p>
      <w:r>
        <w:t>En définitive bien-fondé, le recours doit être admis, la décision attaquée annulée et la cause renvoyée à l’OAI pour qu’il rende une nouvelle décision après avoir procédé à un complément d’instruction conformément aux considérants du présent arrêt. a)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francs et seront supportés par l’intimé qui succombe. b) Le recourant qui obtient gain de cause avec l’assistance des services d’un mandataire professionnel pour la défense de ses intérêts, peut prétendre une indemnité de dépens à la charge de l'intimé (art. 61 let. g LPGA; 55 al. 1 LPA-VD; art. 10 et 11 TFJDA [Tarif des frais judiciaires et des dépens en matière administrative du 28 avril 2015 ; RSV 173.36.5.1]) et qu'il y a lieu de fixer à 2’500 fr. TVA incluse, compte tenu de l’importance et de la complexité de l'affaire. Vu que ce montant dépasse l’indemnité arrêtée par prononcé séparé du 9 février 2016 et le montant complémentaire auquel pourrait prétendre le mandataire du</w:t>
      </w:r>
    </w:p>
    <w:p>
      <w:r>
        <w:t>- 30 - recourant dans le cadre de l’assistance judiciaire, il est renoncé à fixer une indemnité complémentaire.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