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ZD14.044701 vom 22. Juni 2016</w:t>
      </w:r>
    </w:p>
    <w:p>
      <w:r>
        <w:t>VD Tribunal cantonal, 2016-06-22, FR</w:t>
      </w:r>
    </w:p>
    <w:p>
      <w:r>
        <w:rPr>
          <w:b/>
        </w:rPr>
        <w:t xml:space="preserve">Quelle: </w:t>
      </w:r>
      <w:r>
        <w:t>https://mcp.opencaselaw.ch/entscheid/vd_gerichte_ZD14.044701</w:t>
      </w:r>
    </w:p>
    <w:p>
      <w:r>
        <w:t>FR: VD_GERICHTE ZD14.044701 du 22 juin 2016</w:t>
      </w:r>
    </w:p>
    <w:p>
      <w:r>
        <w:t>IT: VD_GERICHTE ZD14.044701 del 22 giugno 2016</w:t>
      </w:r>
    </w:p>
    <w:p>
      <w:pPr>
        <w:pStyle w:val="Heading2"/>
      </w:pPr>
      <w:r>
        <w:t>Volltext</w:t>
      </w:r>
    </w:p>
    <w:p>
      <w:r>
        <w:t>TRIBUNAL CANTONAL AI 261/14 - 163/2016 ZD14.044701 CO UR DE S ASSURANCES S OCIALES _____________________________________________ Arrêt du 22 juin 2016 __________________ Composition :M. NEU, juge unique Greffière : Mme Monod ***** Cause pendante entre : V.________, à [...], recourant, représenté par Me Christian Favre, avocat, à Lausanne, et OFFICE DE L'ASSURANCE-INVALIDITÉ POUR LE CANTON DE VAUD, à Vevey, intimé. _______________ Art. 94 al. 1 let. c LPA-VD ; art. 69 al. 1bis LAI. 404</w:t>
      </w:r>
    </w:p>
    <w:p>
      <w:r>
        <w:t>- 2 - Vu le recours interjeté le 6 novembre 2014 par V.________ (ci- après : l’assuré ou le recourant), représenté par Me Christian Favre, à l’encontre de la décision rendue le 19 septembre 2014 par l’Office de l’assurance-invalidité pour le canton de Vaud (ci-après : l’OAI ou l’intimé), aux termes de laquelle ont été octroyées des prestations sous forme de rente dès le 1er août 2011, soit notamment trois-quarts de rente d’invalidité dès le 1er décembre 2013 sur la base d’un degré d’invalidité de 64%, vu la réponse au recours produite par l’OAI le 12 mars 2015, en proposant le rejet, vu l’échange d’écritures subséquent et le mandat d’expertise judiciaire délivré le 5 janvier 2016 par le juge instructeur à l’attention de la Policlinique G.________, où devaient être effectués des examens cliniques de médecine interne et de rhumatologie, vu le rapport d’expertise de la Policlinique G.________ rédigé le 19 avril 2016, à l’issue duquel les experts ont conclu que l’assuré était doté d’une capacité de travail de 80% dans une activité adaptée depuis décembre 2011 jusqu’à la chirurgie subie à son genou droit le 25 juin 2012, ainsi qu’à l’échéance d’une période de trois à six mois après dite chirurgie, vu la détermination de l’intimé du 17 mai 2016, relevant que le droit à rente du recourant devait être modifié pour tenir compte de la capacité de travail susmentionnée, vu la correspondance du recourant du 16 juin 2016, par laquelle il a déclaré retirer son recours ; considérant qu’il y a lieu de rayer la cause du rôle par suite de retrait du recours, selon la procédure de l’art. 94 al. 1 let. c LPA-VD (loi</w:t>
      </w:r>
    </w:p>
    <w:p>
      <w:r>
        <w:t>- 3 - cantonale vaudoise du 28 octobre 2008 sur la procédure administrative ; RSV 173.36), qu’en dérogation à l’art. 61 let. a LPGA (loi fédérale du 6 octobre 2000 sur la partie générale du droit des assurances sociales ; RS 830.1), la procédure de recours en matière de contestations portant sur l’octroi ou le refus de prestations de l’AI devant le tribunal cantonal des assurances est soumise à des frais de justice, le montant des frais étant fixé en fonction de la charge liée à la procédure, indépendamment de la valeur litigieuse, et devant se situer entre 200 et 1'000 fr. (art. 69 al. 1bis LAI [loi fédérale du 19 juin 1959 sur l’assurance-invalidité ; RS 831.20] ; cf. aussi art. 4 al. 2 TFJDA [tarif cantonal vaudois du 28 avril 2015 des frais judiciaires et des dépens en matière administrative ; RSV 173.36.5.1]), qu’en l’espèce il convient, au regard des mesures d’instruction mises en œuvre sous la forme d’une expertise judiciaire de médecine interne et rhumatologie – cette dernière ayant été au demeurant expressément requise par le recourant – de mettre à sa charge un émolument de justice, arrêté à 400 francs, qu’il n’y a pas lieu d’allouer de dépens (art. 61 let. g LPGA). Par ces motifs, le juge unique p r o n o n c e : I. La cause est rayée du rôle par suite de retrait du recours. II. Les frais judiciaires, arrêtés à 400 fr. (quatre cents francs), sont mis à la charge du recourant. III. Il n’est pas alloué de dépens.</w:t>
      </w:r>
    </w:p>
    <w:p>
      <w:r>
        <w:t>- 4 - Le juge unique : La greffière :</w:t>
      </w:r>
    </w:p>
    <w:p>
      <w:r>
        <w:t>- 5 - Du L'arrêt qui précède est notifié, par l'envoi de photocopies, à : - Me Christian Favre, à Lausanne (pour V.________),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