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ZD14.044698 vom 19. Juni 2015</w:t>
      </w:r>
    </w:p>
    <w:p>
      <w:r>
        <w:t>VD Tribunal cantonal, 2015-06-19, FR</w:t>
      </w:r>
    </w:p>
    <w:p>
      <w:r>
        <w:rPr>
          <w:b/>
        </w:rPr>
        <w:t xml:space="preserve">Quelle: </w:t>
      </w:r>
      <w:r>
        <w:t>https://mcp.opencaselaw.ch/entscheid/vd_gerichte_ZD14.044698</w:t>
      </w:r>
    </w:p>
    <w:p>
      <w:r>
        <w:t>FR: VD_GERICHTE ZD14.044698 du 19 juin 2015</w:t>
      </w:r>
    </w:p>
    <w:p>
      <w:r>
        <w:t>IT: VD_GERICHTE ZD14.044698 del 19 giugno 2015</w:t>
      </w:r>
    </w:p>
    <w:p>
      <w:pPr>
        <w:pStyle w:val="Heading2"/>
      </w:pPr>
      <w:r>
        <w:t>Erwägungen</w:t>
      </w:r>
    </w:p>
    <w:p>
      <w:r>
        <w:rPr>
          <w:b/>
        </w:rPr>
        <w:t>E. 6</w:t>
      </w:r>
    </w:p>
    <w:p>
      <w:r>
        <w:t>Finalement, la recourante soutient qu’il ne saurait être question d’un revenu d’invalide (sic) dès lors que les activités que l’office intimé estime à sa portée ne le sont pas en raison de son état de santé.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cf. art. 16 LPGA ; ATF 130 V 343 consid. 3.4). On peut tout au plus comprendre, à l’aune de son écriture, que la critique de la recourante a trait au montant du gain réalisable dans une activité adaptée tel que fixé par l’intimé sur la base des données économiques statistiques. b) L’intimé s’est référé aux données salariales publiées par l’Office fédéral de la statistique, singulièrement au salaire auquel peuvent prétendre les femmes effectuant des activités simples et répétitives dans le secteur privé (production et services) (cf. consid. 5b/cc supra). La jurisprudence prévoit en effet que lorsque la personne assurée, après la survenance de l’atteinte à la santé, n’a pas repris d’activité lucrative ou</w:t>
      </w:r>
    </w:p>
    <w:p>
      <w:r>
        <w:t>- 21 - alors aucune activité normalement exigible, le revenu d’invalide peut être évalué sur la base de salaires fondés sur les données statistiques résultant de l’Enquête suisse sur la structure des salaires (ESS) ou sur les données salariales résultant des descriptions de postes de travail établies par la Caisse nationale suisse d’assurance en cas d’accidents (DPT) (ATF 129 V 472 consid. 4.2.1). En outre, l’OAI a retenu un abattement de 10% sur le salaire statistique eu égard aux limitations fonctionnelles requises par la pathologie somatique (ATF 126 V 75 consid. 5b), taux qui n’apparaît pas arbitraire (ATF 137 V 71 consid. 5.2). Partant, il n’y a pas lieu de s’écarter de l’appréciation de l’intimé s’agissant du revenu d’invalide, étant rappelé que l’on peut raisonnablement attendre de la recourante qu’elle reprenne, à temps plein, une activité légère, adaptée à son état de santé, possibilité dont elle dispose théoriquement sur un marché du travail équilibré (cf. consid. 5b/aa supra) et dont elle est tenue en vertu de son obligation de diminuer le dommage (ATF 123 V 88 consid. 4c). c) La manière de procéder de l’office intimé s’agissant du revenu hypothétique sans invalidité, savoir sur la base des données économiques statistiques en l’absence d’activité lucrative de la recourante bien avant le dépôt de la demande, ne fait pas l’objet de critiques et peut être confirmé. d) Une comparaison du revenu hypothétique sans invalidité de 54'187 fr. 05 avec le revenu d’invalide de 48'768 fr. 35 – montants vérifiés d’office et non contestables – conduit à un degré d’invalidité de 10%. Se situant en deçà du degré minimum de 40%, ce taux n’ouvre pas le droit à une rente de l’assurance-invalidité. Le seuil minimum de 20% environ de la diminution de la capacité de gain fixé par la jurisprudence (ATF 130 V 488 consid. 4.2 et 124 V 108 consid. 2b) pour ouvrir le droit à une mesure d’ordre professionnel n’est également pas atteint.</w:t>
      </w:r>
    </w:p>
    <w:p>
      <w:r>
        <w:t>- 22 -</w:t>
      </w:r>
    </w:p>
    <w:p>
      <w:r>
        <w:rPr>
          <w:b/>
        </w:rPr>
        <w:t>E. 7</w:t>
      </w:r>
    </w:p>
    <w:p>
      <w:r>
        <w:t>En définitive, la décision attaquée du 6 octobre 2014 n’est pas critiquable dans son résultat et doit être confirmée. Il s’ensuit que le recours introduit le 6 novembre 2014 par Q.________ doit être rejeté. a) La recourante ne peut prétendre de dépens (art. 61 let. g LPGA et 55 LPA-VD). Par ailleurs, la procédure est onéreuse et la recourante, qui voit ses conclusions rejetées, devrait en principe supporter les frais de justice (art. 69 al. 1bis LAI et art. 49 al. 1 LPA-VD, applicable par renvoi des art. 91 et 99 LPA-VD). Elle a toutefois été mis au bénéfice de l’assistance judiciaire, de sorte que la rémunération du conseil d’office ainsi que les frais judiciaires, arrêtés à 400 fr., sont provisoirement supportés par le canton, la recourante étant rendue attentive au fait qu’elle est tenue à remboursement dès qu’elle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Ayan a produit une liste de ses opérations le</w:t>
      </w:r>
    </w:p>
    <w:p>
      <w:r>
        <w:rPr>
          <w:b/>
        </w:rPr>
        <w:t>E. 10</w:t>
      </w:r>
    </w:p>
    <w:p>
      <w:r>
        <w:t>juin 2015, laquelle a été contrôlée au regard de la procédure et rentre globalement dans le cadre du bon accomplissement du mandat, de sorte qu'elle doit être arrêtée à 8 heures et 40 minutes de prestations d'avocat, soit un montant d'honoraires s'élevant à 1’560 fr. (tarif horaire de 180 fr.), plus TVA à 8% d’un montant de 124 fr. 80. Au demeurant, l'avocat d'office a droit au remboursement de tous les débours qui s'inscrivent raisonnablement dans l'exécution de sa tâche (ATF 122 I 1). En l’occurrence, c’est un montant de 140 fr. 50, TVA à 8% en sus, qui doit</w:t>
      </w:r>
    </w:p>
    <w:p>
      <w:r>
        <w:t>- 23 - être reconnu à ce titre. Le montant total de l'indemnité de Me Ayan s'élève donc à 1'836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