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ZD14.042044 vom 3. Juli 2017</w:t>
      </w:r>
    </w:p>
    <w:p>
      <w:r>
        <w:t>VD Tribunal cantonal, 2017-07-03, FR</w:t>
      </w:r>
    </w:p>
    <w:p>
      <w:r>
        <w:rPr>
          <w:b/>
        </w:rPr>
        <w:t xml:space="preserve">Quelle: </w:t>
      </w:r>
      <w:r>
        <w:t>https://mcp.opencaselaw.ch/entscheid/vd_gerichte_ZD14.042044</w:t>
      </w:r>
    </w:p>
    <w:p>
      <w:r>
        <w:t>FR: VD_GERICHTE ZD14.042044 du 3 juillet 2017</w:t>
      </w:r>
    </w:p>
    <w:p>
      <w:r>
        <w:t>IT: VD_GERICHTE ZD14.042044 del 3 luglio 2017</w:t>
      </w:r>
    </w:p>
    <w:p>
      <w:pPr>
        <w:pStyle w:val="Heading2"/>
      </w:pPr>
      <w:r>
        <w:t>Erwägungen</w:t>
      </w:r>
    </w:p>
    <w:p>
      <w:r>
        <w:rPr>
          <w:b/>
        </w:rPr>
        <w:t>E. 3</w:t>
      </w:r>
    </w:p>
    <w:p>
      <w:r>
        <w:t>a) Aux termes de l’art. 8 al. 1 LPGA, est réputée invalidité l’incapacité de gain totale ou partielle qui est présumée permanente ou de longue durée.</w:t>
      </w:r>
    </w:p>
    <w:p>
      <w:r>
        <w:t>- 15 -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la teneur de l'art. 4 LAI, l'invalidité (art. 8 LPGA) peut résulter d'une infirmité congénitale, d'une maladie ou d'un accident (al. 1). L'invalidité est réputée survenue dès qu'elle est, par sa nature et sa gravité, propre à ouvrir droit aux prestations entrant en considération (al. 2). b) Aux termes de l’art. 28 al. 1 LAI, l’assuré a droit à une rente aux conditions suivantes : - sa capacité de gain ou sa capacité d’accomplir ses travaux habituels ne peut pas être rétablie, maintenue ou améliorée par des mesures de réadaptation raisonnablement exigibles (let. a) ; - il a présenté une incapacité de travail (art. 6 LPGA) d’au moins 40 % en moyenne durant une année sans interruption notable (let. b) ; - au terme de cette année, il est invalide (art. 8 LPGA) à 40 % au moins (let. c).</w:t>
      </w:r>
    </w:p>
    <w:p>
      <w:r>
        <w:t>- 16 - Selon l'art. 28 al. 2 LAI, l’assuré a droit à un quart de rente s’il est invalide à 40 % au moins, à une demi-rente s’il est invalide à 50 % au moins, à trois-quarts de rente s’il est invalide à 60 % au moins et à une rente entière s’il est invalide à 70 % au moins.</w:t>
      </w:r>
    </w:p>
    <w:p>
      <w:r>
        <w:rPr>
          <w:b/>
        </w:rPr>
        <w:t>E. 4</w:t>
      </w:r>
    </w:p>
    <w:p>
      <w:r>
        <w:t>a)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(art. 28a al. 1 LAI en corrélation avec l'art. 16 LPGA ; ATF 130 V 343 consid. 3.4), méthode spécifique pour un assuré sans activité lucrative (art. 28a al. 2 LAI ; ATF 130 V 97 consid. 3.3.1) et méthode mixte pour un assuré exerçant une activité lucrative à temps partiel (art. 28a al. 3 LAI ; ATF 137 V 334 ; 130 V 393 ; 125 V 146).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citées) et la méthode extraordinaire de comparaison des revenus (ATF 137 V 334 consid. 3.1.1 et les références citées ; ATF 128 V 29).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w:t>
      </w:r>
    </w:p>
    <w:p>
      <w:r>
        <w:t>- 17 - spécifique d'évaluation de l'invalidité (art. 28a al. 2 LAI en corrélation avec les art. 8 al. 3 LPGA et 27 RAI [règlement fédéral du 17 janvier 1961 sur l’assurance-invalidité ; RS 831.201]). Par travaux habituels, il faut notamment entendre l'activité usuelle dans le ménage, l'éducation des enfants ainsi que toute activité artistique ou d'utilité publique (art. 27 RAI ; ATF 137 V 334 consid. 3.1.2). cc)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ATF 137 V 334 consid. 3.1.3 ; 131 V 51 consid. 5.1.2 et 5b infra). b)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w:t>
      </w:r>
    </w:p>
    <w:p>
      <w:r>
        <w:t>- 18 - force probatoire reconnue habituellement en droit des assurances sociales atteigne le degré de la vraisemblance prépondérante (ATF 137 V 334 consid. 3.2 et les références citées ; 117 V 194 consid. 3b). c) Si l'on ne peut déterminer ou évaluer sûrement les deux revenus hypothétiques provenant d’une activité lucrative, ce qui peut être le cas pour les personnes de condition indépendante, il convient de recourir à la méthode extraordinaire d’évaluation de l’invalidité, soit en procédant à une comparaison des activités et en évaluant le degré d'invalidité d'après l'incidence de la capacité de rendement amoindrie sur la situation économique. L'invalidité n'est pas évaluée uniquement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citées ; TF 9C_394/2009 du 8 janvier 2010 consid. 2.2 ; cf. également Circulaire sur l’invalidité et l’impotence dans l’assurance-invalidité [CIIAI], édictée par l’Office fédéral des assurances sociales [OFAS], ch. 3104 CIIAI ss). Dans le cas particulier d’une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w:t>
      </w:r>
    </w:p>
    <w:p>
      <w:r>
        <w:t>- 19 -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(TFA [Tribunal fédéral des assurances] I 83/97 du 16 octobre 1997 consid. 2c, in : VSI 1998 p. 121 ; I 432/97 du 30 mars 1998 consid. 4a, in : VSI 1998 p. 255 ; TF 9C_394/2009 du 8 janvier 2010 consid. 2.3).</w:t>
      </w:r>
    </w:p>
    <w:p>
      <w:r>
        <w:rPr>
          <w:b/>
        </w:rPr>
        <w:t>E. 5</w:t>
      </w:r>
    </w:p>
    <w:p>
      <w:r>
        <w:t>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réf. cit.).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 I 562/06 du 25 juillet 2007 consid. 2.1 et TFA I 274/05 du 21 mars 2006 consid. 1.2).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9C_418/2007 du 8 avril 2008 consid. 2.1). b) C’est ainsi qu’il importe, pour conférer pleine valeur probante à un rapport médical, que les points litigieux importants aient fait l’objet d’une étude circonstanciée, que le rapport se fonde sur des</w:t>
      </w:r>
    </w:p>
    <w:p>
      <w:r>
        <w:t>- 20 -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9C_1023/2008 du 30 juin 2009 consid. 2.1.1).</w:t>
      </w:r>
    </w:p>
    <w:p>
      <w:r>
        <w:rPr>
          <w:b/>
        </w:rPr>
        <w:t>E. 6</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w:t>
      </w:r>
    </w:p>
    <w:p>
      <w:r>
        <w:t>- 21 -</w:t>
      </w:r>
    </w:p>
    <w:p>
      <w:r>
        <w:rPr>
          <w:b/>
        </w:rPr>
        <w:t>E. 7</w:t>
      </w:r>
    </w:p>
    <w:p>
      <w:r>
        <w:t>En l’espèce, dans un premier moyen, le recourant reproche à l’intimé de plus avoir opéré d’examen de la situation médicale depuis plusieurs années, alors que celle-ci se serait détériorée. Cette affirmation est toutefois sujette à caution, puisqu’aux dires du recourant lui-même, suite au pontage aorto-fémoral subi en 2015, sa situation médicale serait « rentrée dans l’ordre, c’est-à-dire revenue à celle qu’elle était au moment présentement litigieux, à savoir celle d’un status post trois interventions chirurgicales au dos ». Quoi qu’il en soit, le recourant n’a nullement fait état d’une quelconque aggravation de son état de santé avant le dépôt du recours. En particulier, lors de l’entretien avec l’OAI dans le cadre de l’enquête économique pour les indépendants au mois de juillet 2011, l’intéressé n’a pas invoqué de péjoration de sa situation médicale, se contentant de contester la capacité de travail de 100 % dans une activité adaptée telle que retenue par les médecins (cf. rapport d’enquête du 13 juillet 2011 et avis médical du Dr K.________ du 30 juillet 2008), mais sans étayer sa position. De surcroît, il ne produit aucune pièce médicale susceptible de mettre en doute l’évaluation de l’OAI sur ce point. Or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et 121 V 362 consid. 1b et réf. cit.). Ainsi, on ne saurait retenir une aggravation de l’état de santé du recourant, au demeurant nullement documentée, au moment où la décision querellée a été rendue. Ce grief est par conséquent mal fondé.</w:t>
      </w:r>
    </w:p>
    <w:p>
      <w:r>
        <w:rPr>
          <w:b/>
        </w:rPr>
        <w:t>E. 8</w:t>
      </w:r>
    </w:p>
    <w:p>
      <w:r>
        <w:t>a) S’agissant de l’évaluation du degré d’invalidité du recourant, on constatera à titre liminaire que compte tenu des circonstances du cas d’espèce, en particulier de la difficulté de déterminer de manière fiable les revenus à comparer, c’est à juste titre que l’OAI a</w:t>
      </w:r>
    </w:p>
    <w:p>
      <w:r>
        <w:t>- 22 - appliqué la méthode extraordinaire d’évaluation pour déterminer le degré d’invalidité du recourant, ce qui n’est au demeurant pas contesté par ce dernier. Il soulève toutefois une série de griefs à l’encontre de l’enquête économique pour les indépendants sur laquelle s’est fondé l’intimé pour rendre la décision querellée, griefs qui seront examinés ci-après. b) En premier lieu, pour ce qui est de la comparaison des champs d’activités, on observera que dans le cadre de l’enquête économique pour les indépendants réalisée le 12 juillet 2011, l’OAI a défini sept domaines d’activité différents, à savoir les travaux de charpente sur les chantiers, la préparation à l’atelier, la supervision des ouvriers, les rendez-vous de chantiers, les « prises de mesures sur les petits chantiers, Velux, petites transformations, etc », les « prises de mesures sur les gros chantiers, charpentes complètes, etc », et les dessins sur ordinateurs, préparation des plans, mise au propre des métrés, devis et factures (cf. annexe 2B au rapport du 13 juillet 2011). L’intimé a ensuite déterminé la proportion du temps consacré par le recourant aux différents champs d’activités composant son métier, en heures et en pourcents. Cette répartition a été faite sur la base des déclarations de l’assuré, lesquelles figurent au point 3.6 du rapport. On constate ainsi que M.________ participe à environ cinq rendez-vous de chantiers hebdomadaires d’une durée d’1 heure 30 en moyenne, soit 7.5 heures par semaine. Il consacre également 2 heures 30 par jour en moyenne à la supervision des ouvriers, ce qui correspond à 12.5 heures par semaine. De plus, il s'occupe de l'établissement de devis ou d’offres pour des travaux de charpente durant 6 heures par semaine, ainsi que de devis plus complexes durant 4 heures 30 par semaine. Finalement, il consacre 2 heures 30 par jour à des travaux administratifs ou de dessin, soit 12.5 heures par semaine. Au total, le recourant consacre ainsi 43 heures par semaine à ses activités professionnelles. Dès lors et contrairement à ce que soutient le recourant, l’intimé explique clairement quelles sont les diverses activités réalisées par l’intéressé et dans quelle proportion il est encore capable de les exercer, étant précisé qu’il a été tenu compte de la nécessité du recourant</w:t>
      </w:r>
    </w:p>
    <w:p>
      <w:r>
        <w:t>- 23 - de faire des pauses durant la journée (cf. rapport d’enquête pp. 1 et 3). Dans la mesure où la détermination des champs d’activités et le nombre d’heures qui leur sont consacrées résultent d’une discussion entre l’intimé et le recourant, dont les déclarations ont été consignées dans le rapport d’enquête, on voit difficilement comment l’OAI aurait pu « gonfler » les heures de travail attribuées aux différentes activités et en quoi elles ne correspondraient pas à la réalité des déclarations du recourant. Ce dernier ne l’explique d’ailleurs pas. De surcroît, avant le dépôt du recours, il n’a jamais fait valoir que ses propos auraient été mal retranscrits dans le rapport du 13 juillet 2011. Par ailleurs, cette répartition est tout à fait compatible avec la capacité de travail de 100 % dans une activité adaptée telle que retenue par les médecins (cf. avis médical du Dr K.________ du 30 juillet 2008). Certes, le recourant conteste cette pleine capacité de travail dans une activité adaptée, mais comme expliqué ci-dessus, il n’était nullement sa position, de sorte qu’il ne se justifie pas de s’écarter de l’appréciation de l’intimé sur ce point (cf. consid. 7). Quant au nombre d’heures retenu par l’OAI pour l’activité sans atteinte à la santé, soit 50 heures par semaine, on relèvera que ce chiffre a été déterminé après discussion avec le recourant et son frère, sur la base de l’horaire moyen de ce dernier (cf. rapport d’enquête p. 5). Force est ainsi de constater que l’intimé a déterminé de manière claire et précise les activités que le recourant est en mesure d’exercer avec et sans atteinte à la santé, et dans quel laps de temps il peut les accomplir (cf. Valterio, Droit de l’assurance-vieillesse et survivants (AVS) et de l’assurance-invalidité (AI), Genève/Zurich/Bâle 2011, n° 2185 p. 589). Quant à la pondération en pourcentage avec et sans atteinte à la santé, qui n’est au demeurant pas contestée en tant que telle par le recourant, aboutissant à une capacité de travail pondérée de 76.5 % (cf. annexe 2B), elle a été correctement calculée. De surcroît, elle tient compte de la baisse de rendement dans l’activité de supervision des ouvriers et du fait que M.________ doit se faire accompagner par un aide pour les prises de mesures sur les gros chantiers. L’appréciation de l’intimé s’agissant de la comparaison des champs d’activités, qui tient par</w:t>
      </w:r>
    </w:p>
    <w:p>
      <w:r>
        <w:t>- 24 - ailleurs compte du reclassement professionnel achevé par le recourant et de la réorganisation de l’entreprise, ne prête ainsi pas le flanc à la critique. c) Il convient encore de contrôler la pondération des activités en appliquant à chaque activité le salaire de référence usuel dans la branche. En l’espèce, c’est à juste titre que l’intimé s’est fondé sur les salaires mentionnés dans l’Enquête suisse sur la structure des salaires (ESS) pour l’année 2008 (cf. notamment Valtério, op. cit., n° 2185 p. 590 ; TF 9C_731/2007 du 20 août 2008 consid. 5.2). L’OAI s’est référé aux chiffres du tableau TA7, domaine d’activité 11, soit les activités de la construction telles que la menuiserie charpente. Cette approche n’est pas critiquable, dans la mesure où l’on peut appliquer les chiffres de la table TA7 si cela permet, comme c’est le cas en l’espèce, de fixer de la manière la plus concrète possible le revenu hypothétique sans invalidité dégagé par l’assuré (cf. par analogie quant au revenu d’invalide TF 9C_142/2009 du 20 novembre 2009 consid. 4.1). Les niveaux de qualification retenus pour chaque champ d’activités sont en outre conformes aux exigences requises pour les différents types de travaux énumérés. L’appréciation de l’OAI sur ce point, au demeurant non critiquée en tant que telle par le recourant, doit ainsi être suivie. On rappellera enfin que la méthode extraordinaire consiste à déterminer les répercussions économiques de la baisse de rendement sur la situation concrète où se déploie l’activité (Valtério, op. cit., n° 2183 p. 588). Lorsque cette méthode est appliquée, c’est justement parce que la comparaison des résultats d'exploitation réalisés dans l’entreprise avant et après la survenance de l'invalidité ne permet pas de tirer des conclusions valables sur la diminution de la capacité de gain due à l'invalidité (cf. supra consid. 4c). Par conséquent, les griefs du recourant selon lesquels l’intimé aurait dû comparer l’évolution de son revenu avec celle de son frère et tenir compte de la part de « salaire social » qui lui est octroyé doivent être écartés, ces éléments n’ayant aucune incidence lorsque la méthode extraordinaire est appliquée.</w:t>
      </w:r>
    </w:p>
    <w:p>
      <w:r>
        <w:t>- 25 - Quant aux déclarations du recourant selon lesquelles sa situation professionnelle aurait évolué au cours de l’année 2015, puisqu’il serait désormais employé et salarié d’une nouvelle entreprise, il s’agit d’un état de fait postérieur à celui existant au moment de la clôture de la procédure administrative. Il n’est dès lors pas déterminant dans le cadre de la présente procédure (cf. supra consid. 7 in fine).</w:t>
      </w:r>
    </w:p>
    <w:p>
      <w:r>
        <w:rPr>
          <w:b/>
        </w:rPr>
        <w:t>E. 9</w:t>
      </w:r>
    </w:p>
    <w:p>
      <w:r>
        <w:t>Compte tenu de ce qui précède, il n’est pas nécessaire de procéder à l’audition du recourant. En effet, le dossier de la cause est complet, permettant ainsi au tribunal de statuer en pleine connaissance de cause. Il n'y a donc pas lieu de donner suite à la mesure d’instruction requise, dite mesure n’étant pas de nature à modifier les considérations qui précèdent, les faits pertinents ayant pu être constatés à satisfaction de droit (appréciation anticipée des preuves ; cf. supra consid. 6b).</w:t>
      </w:r>
    </w:p>
    <w:p>
      <w:r>
        <w:rPr>
          <w:b/>
        </w:rPr>
        <w:t>E. 10</w:t>
      </w:r>
    </w:p>
    <w:p>
      <w:r>
        <w:t>Il résulte de l’exposé qui précède que le recours, mal fondé, doit être rejeté et la décision querellée confirmée.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du recourant, sont arrêtés à 400 francs. b) Vu l’issue du recours, il n’y a pas lieu d'allouer une indemnité de dépens (art. 61 let. g LPGA ; art. 55 LPA-VD). Par ces motifs,</w:t>
      </w:r>
    </w:p>
    <w:p>
      <w:r>
        <w:t>- 26 - la Cour des assurances sociales p r o n o n c e : I. Le recours est rejeté. II. La décision rendue le 15 septembre 2014 par l’Office de l'assurance-invalidité pour le canton de Vaud est confirmée. III. Les frais judiciaires, arrêtés à 400 fr. (quatre cents francs), sont mis à la charge du recourant. IV. Il n’est pas alloué de dépens. Le président : La greffière :</w:t>
      </w:r>
    </w:p>
    <w:p>
      <w:r>
        <w:t>- 27 - Du L'arrêt qui précède, dont la rédaction a été approuvée à huis clos, est notifié à : - Me Elsig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