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ZD14.041938 vom 29. April 2015</w:t>
      </w:r>
    </w:p>
    <w:p>
      <w:r>
        <w:t>VD Tribunal cantonal, 2015-04-29, FR</w:t>
      </w:r>
    </w:p>
    <w:p>
      <w:r>
        <w:rPr>
          <w:b/>
        </w:rPr>
        <w:t xml:space="preserve">Quelle: </w:t>
      </w:r>
      <w:r>
        <w:t>https://mcp.opencaselaw.ch/entscheid/vd_gerichte_ZD14.041938</w:t>
      </w:r>
    </w:p>
    <w:p>
      <w:r>
        <w:t>FR: VD_GERICHTE ZD14.041938 du 29 avril 2015</w:t>
      </w:r>
    </w:p>
    <w:p>
      <w:r>
        <w:t>IT: VD_GERICHTE ZD14.041938 del 29 aprile 2015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novembre 2010, laquelle a entraîné une fracture de la base du cinquième métatarsien du pied droit, traitée conservativement. Les conséquences financières de cet événement ont été prises en charge par la BB.________SA, en sa qualité d’assurance-accidents de l’employeur. Dans ce contexte, le Dr FF.________, médecin assistant au sein de la Clinique GG.________, a communiqué à la BB.________SA la prescription d’un arrêt de travail total du 13 novembre 2010 au 31 janvier 2011. E. Par une quatrième demande formelle, adressée à l’OAI le 23 mai 2011, l’assurée a derechef sollicité des prestations AI, exposant souffrir d’une « hypertension artérielle », d’une « arthrose avec beaucoup de douleurs à la hanche, aux genoux et aux pieds » entraînant des difficultés à la marche et aux déplacements, de « dépression », des investigations pour un « syndrome d’apnée du sommeil » et « anémie » se trouvant au surplus en cours. Elle a précisé exercer une activité de concierge à 30% depuis juillet 2009 auprès de DD.________SA. Après avoir été invitée par l’OAI à établir de façon plausible une modification de son état de santé susceptible d’influencer ses droits par courrier du 27 mai 2011, elle a produit le 14 juin 2011 un rapport de la Dresse N.________, spécialiste en médecine interne daté du 10 juin 2011, laquelle a relaté les diagnostics suivants :</w:t>
      </w:r>
    </w:p>
    <w:p>
      <w:r>
        <w:t>- 8 - • status après fracture du pied droit en décembre [recte : novembre] 2010, • douleurs ostéoarticulaires avec un syndrome inflammatoire en cours d’investigations, hypertension artérielle (HTA) traitée, • suspicion d’une thalassémie, • incontinence urinaire, • nodule thyroïdien en cours d’investigations, • fatigue chronique avec suspicion d’un syndrome d’apnée du sommeil (SAS), • état dépressif. Elle a précisé qu’une prise en charge psychiatrique allait débuter, tandis qu’une incapacité de travail de 100% était prononcée pour une durée indéterminée. DD.________SA a complété un rapport d’employeur le 21 juillet 2011 indiquant que l’assurée déployait une activité de concierge depuis le 1er juillet 2009 à hauteur de 9h50 par semaine pour un revenu mensuel brut de 1'020 fr. 45 et que les rapports de travail se poursuivaient. Sollicité pour avis, le Dr M.________ du SMR a retenu le 26 août 2011 l’absence de tout « élément nouveau de la sphère médicale [rendant] plausible une aggravation durable de l’état de santé de cette assurée depuis la dernière décision AI ». F. Partant, l’OAI a rendu un projet de décision le 7 mars 2012, envisageant de nier derechef à l’assurée le droit à des prestations AI. Cette dernière a communiqué ses objections par correspondance du</w:t>
      </w:r>
    </w:p>
    <w:p>
      <w:r>
        <w:rPr>
          <w:b/>
        </w:rPr>
        <w:t>E. 16</w:t>
      </w:r>
    </w:p>
    <w:p>
      <w:r>
        <w:t>octobre 2014. 9. Il résulte de l’exposé qui précède que le recours, mal fondé, doit être rejeté et la décision querellée confirmée. La cause est néanmoins renvoyée à l’intimé pour qu’il instruise et statue sur la demande de révision déposée par la recourante, par l’intermédiaire de son médecin traitant, en date du 10 septembre 2014. 9.1 En dérogation à l'art. 61 let. a LPGA, la procédure de recours en matière de contestations portant sur l'octroi ou le refus de prestations de l'AI devant le tribunal cantonal des assurances est soumise à des frais de justice ; en principe, la partie dont les conclusions sont rejetées supporte les frais de procédure (art. 69 al. 1bis LAI et 49 al. 1 LPA-VD, applicable par renvoi des art. 91 et 99 LPA-VD). In casu, au vu de la nature et de la complexité du litige, les</w:t>
      </w:r>
    </w:p>
    <w:p>
      <w:r>
        <w:t>- 33 - frais judiciaires, mis à la charge de la recourante, sont arrêtés à 400 francs. 9.2 Vu l’issue du recours, la recourante n’obtenant pas gain de cause et n’étant de toute façon pas représentée, il n’y a pas lieu d'allouer une indemnité de dépens (art. 61 let. g LPGA ; art. 55 LPA-VD).</w:t>
      </w:r>
    </w:p>
    <w:p>
      <w:r>
        <w:t>- 34 -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