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ZD14.041926 vom 2. November 2015</w:t>
      </w:r>
    </w:p>
    <w:p>
      <w:r>
        <w:t>VD Tribunal cantonal, 2015-11-02, FR</w:t>
      </w:r>
    </w:p>
    <w:p>
      <w:r>
        <w:rPr>
          <w:b/>
        </w:rPr>
        <w:t xml:space="preserve">Quelle: </w:t>
      </w:r>
      <w:r>
        <w:t>https://mcp.opencaselaw.ch/entscheid/vd_gerichte_ZD14.041926</w:t>
      </w:r>
    </w:p>
    <w:p>
      <w:r>
        <w:t>FR: VD_GERICHTE ZD14.041926 du 2 novembre 2015</w:t>
      </w:r>
    </w:p>
    <w:p>
      <w:r>
        <w:t>IT: VD_GERICHTE ZD14.041926 del 2 novembre 2015</w:t>
      </w:r>
    </w:p>
    <w:p>
      <w:pPr>
        <w:pStyle w:val="Heading2"/>
      </w:pPr>
      <w:r>
        <w:t>Erwägungen</w:t>
      </w:r>
    </w:p>
    <w:p>
      <w:r>
        <w:rPr>
          <w:b/>
        </w:rPr>
        <w:t>E. 1</w:t>
      </w:r>
    </w:p>
    <w:p>
      <w:r>
        <w:t>a) Les dispositions de la LPGA (loi fédérale du 6 octobre 2000 sur la partie générale du droit des assurances sociales, RS 830.1) s'appliquent à l'assurance-invalidité, à moins que la LAI (loi fédérale du 29 juin 1959 sur l'assurance-invalidité,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le recours a été formé en temps utile et dans le respect des conditions de formes prévues par la loi (cf.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w:t>
      </w:r>
    </w:p>
    <w:p>
      <w:r>
        <w:rPr>
          <w:b/>
        </w:rPr>
        <w:t>E. 2</w:t>
      </w:r>
    </w:p>
    <w:p>
      <w:r>
        <w:t>Le litige porte sur le droit du recourant à une rente de l’assurance-invalidité, plus particulièrement sur la question de savoir si le cas devait être soumis à l’examen des conditions formelles et matérielles d’une révision ou d’une reconsidération.</w:t>
      </w:r>
    </w:p>
    <w:p>
      <w:r>
        <w:t>- 20 -</w:t>
      </w:r>
    </w:p>
    <w:p>
      <w:r>
        <w:rPr>
          <w:b/>
        </w:rPr>
        <w:t>E. 3</w:t>
      </w:r>
    </w:p>
    <w:p>
      <w:r>
        <w:t>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(TFA I 408/05 du 18 août 2006 consid. 3.1 et les références). Aux termes de l'art. 87 RAI (règlement du 17 janvier 1961 sur l'assurance-invalidité, RS 831.201), lorsqu’une demande de révision est déposée, celle-ci doit établir de façon plausible que l’invalidité (art. 8 LPGA), l’impotence (art. 9 LPGA) ou l’étendue du besoin de soins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Lorsque l'administration est saisie d'une nouvelle demande sur laquelle elle est entrée en matière selon l'art. 87 RAI, il faut appliquer par analogie les principes concernant la révision, au sens de l'art. 17 LPGA (ATF 130 V 71 consid. 3.2). Dans cette hypothèse, il y a donc lieu d’examiner si, entre la décision de refus de prestations entrée en force et la décision litigieuse, un changement important des circonstances propre</w:t>
      </w:r>
    </w:p>
    <w:p>
      <w:r>
        <w:t>- 21 - à influencer le degré d'invalidité, et donc le droit à la rente, s'est produit (ATF 130 V 343 consid. 3.5.2). Une appréciation différente de la même situation médicale ne permet pas encore de conclure à l’existence d’une aggravation (ATF 112 V 372 consid. 2b ; SVR 1996 IV n° 70 p. 204 consid. 3a et les références ; MEYER-BLASER, Rechtsprechung des Bundesgerichts zum IVG, Zurich 1997, p. 259). L’on ajoutera que la dernière décision entrée en force qui repose sur un examen matériel du droit à la rente avec une constatation des faits pertinents, une appréciation des preuves et une comparaison des revenus conformes au droit, constitue le point de départ temporel pour l'examen d'une modification du degré d'invalidité lors d'une révision de la rente (ATF 133 V 108 consid. 5). b)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 un changement de pratique ou de jurisprudence ne saurait en principe justifier une reconsidération (ATF 119 V 410 consid. 3a ; 117 V 8 consid. 2c ; 115 V 308 consid. 4a/cc).</w:t>
      </w:r>
    </w:p>
    <w:p>
      <w:r>
        <w:rPr>
          <w:b/>
        </w:rPr>
        <w:t>E. 4</w:t>
      </w:r>
    </w:p>
    <w:p>
      <w:r>
        <w:t>Les procédures de révision et de reconsidération impliquent en premier lieu qu’une décision de rente, ou de refus de rente, ait été rendue et soit entrée en force. En l’espèce, une première décision d’octroi de rente a été rendue par l’intimé le 1er juin 1991. En 1999, l’intimé a mis fin à cette prestation au profit de mesures de réadaptation. Ensuite du dépôt de la nouvelle demande du recourant en novembre 2008, l’intimé a</w:t>
      </w:r>
    </w:p>
    <w:p>
      <w:r>
        <w:t>- 22 - réexaminé le droit à la rente sous l’angle de la reconsidération ou de la révision d’une décision de refus de prestations qui serait intervenue en 1999. Le versement de la rente entière, telle qu’octroyée dès le mois de mai 1991, a été interrompu afin de donner suite à la demande insistante et motivée du recourant d’entreprendre une nouvelle formation, comme en témoignent les rapports internes de l’OAI des 15 avril et 26 mai 1999, ainsi que le courrier du recourant du 14 avril 1998. Les mesures professionnelles ont été accordées par communication du 22 novembre 1999 dans le sens d’une formation d’informaticien, ce qui a entraîné la suppression de la rente, par décision du 6 décembre 1999, au motif de l’octroi d’indemnités journalières, formellement octroyées par décision du 23 décembre 1999. La décision de suppression de la rente était donc la conséquence de l’allocation d’une autre prestation tenant à la mise en œuvre de mesures professionnelles, et non pas d’une diminution du degré d’invalidité. En particulier, elle ne se fonde pas sur un rapport médical complet qui aurait été destiné à éprouver l’état de santé du recourant lege artis, respectivement à réexaminer une capacité de travail qui se serait modifiée, mais sur un simple avis du Dr T.________ interpellé à seule fin de se prononcer sur le caractère adéquat de la mesure, respectivement l’aptitude du recourant à l’entreprendre et les chances de succès. Cet avis ne peut être qualifié d’expertise. On y constate certes un état de santé psychique qualifié de stabilisé, voire en amélioration, mais ce constat, sommaire, est axé sur la seule question posée dans le cadre du mandat, soit la compatibilité de la formation envisagée avec les limitations fonctionnelles supputées. Il ne s’agissait pas, à ce stade et dans les circonstances données, contrairement à ce que retient le service juridique de l’intimé, de juger de l’aptitude à travailler dans une nouvelle activité avec un taux d’invalidité qui aurait été insuffisant pour justifier l’octroi d’une rente. Le Dr T.________ a été clair dans ce sens dès lors qu’il a précisé qu’il était difficile de prévoir comment le recourant allait réagir à une formation d’une année et demie. Il estimait le projet réalisable d’un point de vue psychiatrique, et qu’il donnerait probablement de bonnes possibilités de trouver une place de travail par la suite. Ces propos</w:t>
      </w:r>
    </w:p>
    <w:p>
      <w:r>
        <w:t>- 23 - démontrent que le Dr T.________ s’est bien limité à examiner l’opportunité d’un point de vue médical d’entreprendre la mesure, sans donner son appréciation quant à la capacité de travail au moment où il s’est prononcé ou celle qui pouvait être attendue à son terme. Ainsi, confinant à une simple communication d’octroi de mesures professionnelles, la décision de suppression de rente rendue le 6 décembre 1999 au seul motif du versement d’indemnités journalières ne constitue pas une décision formelle qui aurait reposé sur un examen matériel du droit à la rente avec une constatation des faits pertinents, une appréciation des preuves et une comparaison des revenus conformes au droit, au sens de la jurisprudence rappelée au consid. 3a ci-dessus concernant les cas de révision. Cela étant, contrairement à ce que soutient le service juridique de l’intimé, une fois la formation achevée en mars 2001, aucune décision formelle n’a été rendue, constatant que le recourant avait été reclassé à satisfaction et mettant un terme au droit à toute prestation, comme il est relevé dans les avis interne de l’intimé des 22 juillet 2002 et 22 juin 2014. Au demeurant, le constat qu’une formation a pu être menée à terme n’emporte pas ispo facto celui d’une capacité à exercer une activité dans l’économie. Il convient en effet d’éprouver cette capacité de travail au terme d’une instruction complète, dans le respect des règles et de la procédure permettant d’arrêter un degré d’invalidité insuffisant. Enfin, la suppression d’une rente ou profit d’autres prestations (formation et indemnités journalières) ne pouvant être assimilée à un refus de rente, on constate que le recourant était au bénéfice d’une rente entière avant sa réadaptation dans l’informatique, certes achevée mais sans réel reclassement subséquent, et que la seule décision formelle de refus de rente qui a ensuite été rendue, soit celle du 12 juillet 2011, n’est jamais entrée en force, car annulée par la Cour de céans le 9 juillet 2012, avec renvoi à l’intimé pour la mise en œuvre d’une expertise indépendante, soit en l’espèce celle confiée aux Drs S.________ et Q.________, et pour nouvelle décision.</w:t>
      </w:r>
    </w:p>
    <w:p>
      <w:r>
        <w:t>- 24 - Ainsi, aucune décision formelle entrée en force n’a été rendue quant à l’aptitude effective du recourant à travailler dans une nouvelle activité avec un taux d’invalidité insuffisant pour justifier le droit aux prestations. On ne voit dès lors pas ce qu’il y avait à réviser au sens de l’art. 17 LPGA ou à reconsidérer au sens de l’art. 53 al. 2 qui ait pu faire obstacle à la nouvelle demande, à une instruction complète sur le plan médical et à une nouvelle décision.</w:t>
      </w:r>
    </w:p>
    <w:p>
      <w:r>
        <w:rPr>
          <w:b/>
        </w:rPr>
        <w:t>E. 5</w:t>
      </w:r>
    </w:p>
    <w:p>
      <w:r>
        <w:t>a) Pour pouvoir calculer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8C_862/2008 du 19 août 2009 consid. 4.2 et les références).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précité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 125 V 351 consid. 3a ; TF 8C_862/2008 précité consid. 4.2 ; 9C_773/2007 du 23 juin 2008 consid. 2.1 ; 9C_168/2007 précité consid. 4.2).</w:t>
      </w:r>
    </w:p>
    <w:p>
      <w:r>
        <w:t>- 25 - b) En l’espèce, l’expertise des Drs Q.________ et S.________, qui rend compte d’une anamnèse complète, du résultat d’examens fouillés et qui motive de manière détaillée tant le diagnostic retenu que les diagnostics écartés, remplit les critères jurisprudentiels pour se voir reconnaître pleine valeur probante. Le SMR, du même avis, s’est rallié aux conclusions de l’expertise. Contrairement à ce que retenait le juriste M.________, suivi par le service juridique de l’intimé, elle ne procède pas d’une simple appréciation différente d’un état de fait qui aurait donné lieu à une instruction suffisante sur le plan médical, mais constitue la première expertise rendue sur le plan psychiatrique qui ait été conduite et rendue lege artis, l’avis du Dr T.________ ne se prononçant pas sur la capacité de travail, et ne constituant qu’un avis quant à l’opportunité d’ouvrir une procédure en réadaptation. Enfin, l’incapacité totale de travail retenue depuis 1986 (perte du dernier emploi) n’est en rien contredite dans les faits, les tentatives de réinsertion du recourant ayant toutes échoué, comme décrit et expliqué par le Dr S.________ dans le cadre de son expertise.</w:t>
      </w:r>
    </w:p>
    <w:p>
      <w:r>
        <w:rPr>
          <w:b/>
        </w:rPr>
        <w:t>E. 6</w:t>
      </w:r>
    </w:p>
    <w:p>
      <w:r>
        <w:t>Au vu de ce qui précède, le recours doit être admis et la décision réformée en ce sens qu’une rente entière est octroyée au recourant, le degré d’invalidité se confondant avec celui de l’incapacité totale de travail. En vertu de l’art. 29 al. 1 LAI, le droit à la rente prend naissance au plus tôt à l'échéance d'une période de six mois à compter de la date à laquelle le recourant a fait valoir son droit aux prestations. La rente est versée dès le début du mois au cours duquel le droit prend naissance (art. 29 al. 3 LAI). En l’espèce, le recourant a déposé sa demande de prestations le 1er décembre 2008 (date d’indexation de la demande par l’intimé). Il a ainsi droit à une rente entière dès le 1er juin 2009.</w:t>
      </w:r>
    </w:p>
    <w:p>
      <w:r>
        <w:rPr>
          <w:b/>
        </w:rPr>
        <w:t>E. 7</w:t>
      </w:r>
    </w:p>
    <w:p>
      <w:r>
        <w:t>En dérogation à l'art. 61 let. a LPGA, la procédure de recours en matière de contestations portant sur l'octroi ou le refus de prestations de l'assurance-invalidité devant le tribunal cantonal des assurances est</w:t>
      </w:r>
    </w:p>
    <w:p>
      <w:r>
        <w:t>- 26 - soumise à des frais judiciaires (art. 69 al. 1bis LAI). En l'espèce, il convient d'arrêter les frais judiciaires à 400 fr. et de les mettre à charge de l'intimé. Obtenant gain de cause, le recourant, assisté d'un mandataire professionnel, a par ailleurs droit à des dépens, fixés en l’espèce à 2'000 fr. (art. 61 let. g LPGA et 55 al. 1 LPA-VD). Le recourant est en outre au bénéfice de l'assistance judiciaire. L'indemnité de dépens précitée, mise à la charge d’une institution d’assurances sociales, est à même de couvrir la rémunération du conseil d'office, de sorte qu’il n’y a pas lieu de fixer précisément le montant de l’indemnité qui aurait dû lui être versée (art. 118 et 122 CPC [code de procédure civile du 19 décembre 2008, RS 272],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