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ZD14.041147 vom 3. Juni 2016</w:t>
      </w:r>
    </w:p>
    <w:p>
      <w:r>
        <w:t>VD Tribunal cantonal, 2016-06-03, FR</w:t>
      </w:r>
    </w:p>
    <w:p>
      <w:r>
        <w:rPr>
          <w:b/>
        </w:rPr>
        <w:t xml:space="preserve">Quelle: </w:t>
      </w:r>
      <w:r>
        <w:t>https://mcp.opencaselaw.ch/entscheid/vd_gerichte_ZD14.041147</w:t>
      </w:r>
    </w:p>
    <w:p>
      <w:r>
        <w:t>FR: VD_GERICHTE ZD14.041147 du 3 juin 2016</w:t>
      </w:r>
    </w:p>
    <w:p>
      <w:r>
        <w:t>IT: VD_GERICHTE ZD14.041147 del 3 giugno 2016</w:t>
      </w:r>
    </w:p>
    <w:p>
      <w:pPr>
        <w:pStyle w:val="Heading2"/>
      </w:pPr>
      <w:r>
        <w:t>Erwägungen</w:t>
      </w:r>
    </w:p>
    <w:p>
      <w:r>
        <w:rPr>
          <w:b/>
        </w:rPr>
        <w:t>E. 3</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w:t>
      </w:r>
    </w:p>
    <w:p>
      <w:r>
        <w:t>a) Pour pouvoir fixer le degré d'invalidité, l'administration – en cas de recours, le tribunal – se base sur des documents médicaux, le cas</w:t>
      </w:r>
    </w:p>
    <w:p>
      <w:r>
        <w:t>- 28 -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 ; TF 9C_1023 du 30 juin 2009 consid. 2.1.1). En ce qui concerne les rapports établis par le médecin traitant de l’assuré, le juge prendra en considération le fait que celui-ci peut être enclin, en cas de doute, à</w:t>
      </w:r>
    </w:p>
    <w:p>
      <w:r>
        <w:t>- 29 - prendre parti pour son patient en raison de la relation de confiance qu’ils ont nouée (ATF 125 V 351 consid. 3b/cc ; TF 8C_862/2008 du 19 août 2009, consid. 4.2).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w:t>
      </w:r>
    </w:p>
    <w:p>
      <w:r>
        <w:rPr>
          <w:b/>
        </w:rPr>
        <w:t>E. 5</w:t>
      </w:r>
    </w:p>
    <w:p>
      <w:r>
        <w:t>a) En l'espèce, une modification est intervenue sur le plan économique. En effet, lors de la décision du 8 décembre 2005, le recourant exerçait, bien que de manière réduite, la profession de garagiste indépendant. Il résulte du rapport d'enquête économique que tel n'est plus le cas. L'économiste M.________ a constaté que le revenu tiré de l'activité indépendante, dès lors qu'aucun chiffre d'affaires n'avait été déclaré (mais uniquement quelques frais fixes-AVS, fiduciaire), pouvait être considéré comme insignifiant. Pour autant qu'une capacité de travail soit attestée, il est par conséquent désormais exigible de l'assuré qu'il travaille dans une autre activité. b) Sur le plan médical, lors de la décision du 8 décembre 2005, le Dr H.________, dans son rapport médical du 22 janvier 2005, a mentionné une incapacité de travail de 70% depuis le 21 mai 2004 due à une aggravation de la maladie de Crohn. Lors de la décision attaquée, l'expert R.________ a posé les diagnostics de maladie de Crohn fistulante, entéro-colique, de status après</w:t>
      </w:r>
    </w:p>
    <w:p>
      <w:r>
        <w:t>- 30 - résection iléo-caecale en 1987 et de status après résection iléo-colique et recto-sigmoïdienne en 1995. Il a indiqué que l'examen clinique ne mettait pas en évidence de masse abdominale, l'abdomen étant sensible à la palpation sans organomégalie. Il a expliqué avoir constaté un discret syndrome de malabsorption correctement substitué en se référant aux derniers examens sanguins de janvier 2013 qui ne montraient pas d'anémie. Il a dès lors retenu un indice d'activité de la maladie de Crohn se situant à 30 environ, correspondant plutôt à une maladie de Crohn inactive lors de son examen. Il a retenu comme limitations fonctionnelles le port de charges uniquement légères de maximum 15 kg, de manière non répétitive, devant s'effectuer uniquement dans l'axe du corps et sans effort de soulèvement. Il a outre exclu les travaux penché en avant, accroupi ou à genoux et une limitation des travaux effectués les bras tenus en hauteur. Enfin, il a ajouté que l'environnement professionnel devait permettre un accès facilité aux toilettes. Dans une telle activité, il a estimé la capacité de travail à 70%. Contrairement à ce que soutient le recourant, l'expert a tenu compte des troubles dont le recourant est atteint et qu'il a constatés. Il n'y a aucun rapport médical circonstancié mettant en doute ses conclusions. Le rapport d'expertise comporte une anamnèse, fait état des plaintes du recourant et se fonde tant sur un examen clinique que sur l'entier du dossier. Procédant d'une analyse approfondie du cas du recourant, elle a valeur probante concernant le taux de capacité de travail du recourant. En ce qui concerne la date depuis laquelle le recourant dispose d'une capacité de travail de 70% dans une activité adaptée, l'expert indique la date du 1er août 2002, au motif que c’est depuis cette date que le recourant est apte à travailler à 50% dans son activité habituelle. Toutefois, la décision du 8 décembre 2005 a augmenté à 100% la demi- rente octroyée depuis août 2002 au recourant à cause d'une aggravation de l'état de santé de celui-ci dès mai 2004, entraînant une incapacité de travail de 70% dans son activité habituelle, taux confirmé dans l'expertise. L'expert a en outre exposé qu'il était difficile de se prononcer sur l'évolution durant ces 18 dernières années.</w:t>
      </w:r>
    </w:p>
    <w:p>
      <w:r>
        <w:t>- 31 - Au degré de la vraisemblance prépondérante, il y a lieu d'admettre en conséquence que la capacité de travail de 70% dans une activité adaptée existe depuis l'expertise, soit depuis novembre 2013.</w:t>
      </w:r>
    </w:p>
    <w:p>
      <w:r>
        <w:rPr>
          <w:b/>
        </w:rPr>
        <w:t>E. 6</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(TF 9C_368/2010 du 31 janvier 2011 consid. 5.3 ; 9C_163/2009 du 10 septembre 2010 consid. 4.2.2.).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 même ne peut, sauf exception, être exigée d'elle en raison de son âge ou de la durée du versement de la rente (TF 9C_800/2014 du 31 janvier 2015 et réf. cit. ; 9C_920/2013 du 20 mai 2014 consid. 4.4 et réf. cit.).</w:t>
      </w:r>
    </w:p>
    <w:p>
      <w:r>
        <w:t>- 32 - En l'occurrence, le recourant est au bénéfice d'une rente depuis le 1er août 1994, qui était d'abord entière jusqu'à fin février 2003, puis de 50% jusqu'au 31 août 2004, puis à nouveau entière, soit depuis près de vingt ans. Pendant cette période, il a uniquement exercé quelques activités dans son garage à son propre rythme sans contraintes d'horaire ou de rendement. Il en va de même s'agissant de son activité relative à son immeuble. Il a ainsi été totalement éloigné du monde du travail et de ses exigences. Si l'OAI a envisagé des mesures professionnelles en vue d'une formation pour diminuer le préjudice économique, il ne résulte pas du dossier qu'il ait proposé au recourant ou même envisagé l'octroi éventuel de mesures d'accompagnement à la réintégration professionnelle. Sous l'angle de l'aptitude objective, on ne peut affirmer sans examen concret de la situation, que le recourant ne nécessite aucune mesure d'ordre professionnel au vu des seules activités simples et répétitives qu'il pourrait exercer. Certes sur le plan subjectif, le recourant semble opposé à exercer une activité salariée à 70%. Toutefois, il appartiendrait alors à l’OAI en application de l’art. 21 al. 4 LPGA de mettre le recourant en demeure.</w:t>
      </w:r>
    </w:p>
    <w:p>
      <w:r>
        <w:rPr>
          <w:b/>
        </w:rPr>
        <w:t>E. 7</w:t>
      </w:r>
    </w:p>
    <w:p>
      <w:r>
        <w:t>En conclusion, bien fondé, le recours doit être admis et la cause renvoyée à l’OAI pour complément d’instruction dans le sens du considérant ci-dessus, puis nouvelle décision.</w:t>
      </w:r>
    </w:p>
    <w:p>
      <w:r>
        <w:rPr>
          <w:b/>
        </w:rPr>
        <w:t>E. 8</w:t>
      </w:r>
    </w:p>
    <w:p>
      <w:r>
        <w:t>a) Les frais judiciaires, arrêtés à 400 fr. (art. 69 al 1bis LAI), sont mis à la charge de l’intimé, qui succombe. b) Bien qu’obtenant gain de cause, le recourant, ayant agi sans l’assistance d’un mandataire professionnel (cf. art. 61 let. g LPGA), n’a pas droit à l’allocation de dépens.</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