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ZD14.038957 vom 28. November 2016</w:t>
      </w:r>
    </w:p>
    <w:p>
      <w:r>
        <w:t>VD Tribunal cantonal, 2016-11-28, FR</w:t>
      </w:r>
    </w:p>
    <w:p>
      <w:r>
        <w:rPr>
          <w:b/>
        </w:rPr>
        <w:t xml:space="preserve">Quelle: </w:t>
      </w:r>
      <w:r>
        <w:t>https://mcp.opencaselaw.ch/entscheid/vd_gerichte_ZD14.038957</w:t>
      </w:r>
    </w:p>
    <w:p>
      <w:r>
        <w:t>FR: VD_GERICHTE ZD14.038957 du 28 novembre 2016</w:t>
      </w:r>
    </w:p>
    <w:p>
      <w:r>
        <w:t>IT: VD_GERICHTE ZD14.038957 del 28 novembre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des dérogations</w:t>
      </w:r>
    </w:p>
    <w:p>
      <w:r>
        <w:t>- 10 - expresses prévues par la LAI (cf. art. 1 al. 1 LAI [loi fédérale du 19 juin 1959 sur l’assurance-invalidité ; RS 831.20]).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Dans le cas présent, le recours a été formé en temps utile et dans le respect des formalités prévues par la loi (cf. art. 61 let. b L 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Le litige porte sur le droit du recourant à une rente et à des mesures d’ordre professionnel de l’assurance-invalidité.</w:t>
      </w:r>
    </w:p>
    <w:p>
      <w:r>
        <w:rPr>
          <w:b/>
        </w:rPr>
        <w:t>E. 3</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w:t>
      </w:r>
    </w:p>
    <w:p>
      <w:r>
        <w:t>- 11 -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demi-rente, un taux de 60 % à un trois quarts de rente et un taux de 70 % à une rente entière (cf. art. 28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ATF 130 V 343 consid. 3.4), méthode spécifique pour un assuré sans activité lucrative (cf. art. 28a al. 2 LAI ; ATF 130 V 97 consid. 3.3.1) et méthode mixte pour un assuré exerçant une activité lucrative à temps partiel (cf. art. 28a al. 3 LAI ; ATF 137 V 334 consid. 3.1 ; 130 V 393 et 125 V 146 ; TF 9C_514/2014 du 23 décembre 2014 consid. 4).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La comparaison des revenus s'effectue, en règle générale, en chiffrant aussi exactement que possible les montants de ces deux revenus</w:t>
      </w:r>
    </w:p>
    <w:p>
      <w:r>
        <w:t>- 12 -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de valeurs exprimées simplement en pour-cent peut aussi suffire (comparaison en pour-cent ; ATF 114 V 310 consid. 3a et les références). Tant pour le revenu que l’assuré pourrait réaliser sans atteinte à la santé (revenu hypothétique sans invalidité), que pour le revenu qu’il pourrait réaliser malgré les atteintes à la santé dont il souffre, d’autre part (revenu d’invalide), la jurisprudence admet, comme il sera décrit plus précisément ci-après, de se référer, à certaines conditions, aux données statistiques de l’Enquête suisse sur la structure des salaires (ci-après : ESS), publiées par l’Office fédéral de la statistique.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9C_260/2013 du 9 août 2013). Dans le cadre de l’utilisation de l’ESS, en l’absence de formation professionnelle dans une activité adaptée, il convient de se</w:t>
      </w:r>
    </w:p>
    <w:p>
      <w:r>
        <w:t>- 13 - référer au revenu mensuel brut (valeur centrale) pour une activité correspondant au niveau de compétence 1 (tâches physiques ou manuelles simples), dans l’économie privée, tous secteurs confondus (Tableau TA1; ATF 142 V 178 consid. 2.5.7 ; voir également RAMA 2001 n° U 439 p. 347). Les salaires bruts standardisés mentionnés dans l’ESS correspondent à une semaine de travail de 40 h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cc)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références) ; il convient toutefois de renoncer à s’y référer lorsqu’il ressort de l’ensemble des circonstances que l’assuré, sans invalidité, ne se serait pas contenté d’une telle rémunération de manière durable (cf. ATF 135 V 58 consid. 3.4.6 ; RCC 1992 p. 96 consid. 4a ; TFA I 137/04 du 13 janvier 2005 consid. 5.1.1 ; I 419/02 du 6 mars 2003 consid. 5.1 ; I 774/01 du 4 septembre 2002 consid. 3 ;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w:t>
      </w:r>
    </w:p>
    <w:p>
      <w:r>
        <w:t>- 14 - sans invalidité et le revenu d’invalide (parallélisme des deux termes de la comparaison de revenu ; cf. Ulrich MEYER, Bundesgesetz über die Invalidenversicherung [IVG], 2e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 135 V 58 ; 134 V 322 consid. 4 et 5.2). c) Pour établir la capacité résiduelle de travail d’un assuré, l’administration – en cas de recours le Tribunal – se fonde notamment sur des rapports médicaux. La tâche du médecin consiste dans ce contexte à évaluer l’état de santé de la personne assurée et à indiquer dans quelle mesure et dans quelles activités elle est encore capable de travailler, ainsi que le type d’activité qu’elle ne peut plus réaliser (cf. ATF 125 V 256 consid. 4 et les références). Le tribunal apprécie librement la valeur probante de ces documents, sans être lié par des règles formelles, pour constater les faits (art. 61 let. c LPGA). Il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w:t>
      </w:r>
    </w:p>
    <w:p>
      <w:r>
        <w:t>- 15 - médicales soit claire et enfin que les conclusions soient bien motivées (ATF 125 V 352 ss consid. 3).</w:t>
      </w:r>
    </w:p>
    <w:p>
      <w:r>
        <w:rPr>
          <w:b/>
        </w:rPr>
        <w:t>E. 4</w:t>
      </w:r>
    </w:p>
    <w:p>
      <w:r>
        <w:t>En l’espèce, l’intimé a constaté une pleine capacité de travail du recourant dans son activité d’employé de commerce pour la période du 1er octobre 2012 au 12 décembre 2013, en se fondant sur un avis sur dossier du Dr T.________, du 2 octobre 2013, ainsi que sur l’appréciation de son service de réadaptation professionnelle du 16 octobre 2013. Il a refusé de revoir ce constat en dépit des avis médicaux postérieurs, qui ont mis en évidence une atteinte plus importante que celle constatée sur les documents dont disposait le Dr T.________. Dans son rapport du 9 octobre 2013 en particulier, le Dr C.________ faisait état d’une déstabilisation nette de la rangée proximale du carpe, qui avait encore augmenté entre juillet 2012 et septembre 2013, et retenait le diagnostic d’instabilité majeure de la rangée proximale du carpe irréductible, post-traumatique, à gauche. Le Dr X.________ constatait, certes, déjà une instabilité carpienne non réductible dans son rapport du 7 juin 2013, dont disposait le Dr T.________. Ce dernier a néanmoins estimé nécessaire, au vu des constatations du Dr C.________, de lui demander son avis relatif à la capacité résiduelle de travail du recourant comme employé de commerce et dans une activité adaptée ménageant le poignet gauche (rapport SMR du 21 janvier 2014). Le Dr C.________ s’est déterminé en retenant, le 11 février 2014, une incapacité de travail de 50 % dans l’activité d’employé de commerce et de 70 % dans une activité adaptée permettant de ménager le poignet. Cette évaluation découlait d’une consultation d’octobre 2013. Il précisait que la capacité de travail pourrait être quelque peu améliorée par arthrodèse. Le SMR, sous la plume des Drs V.________ et J.________, s’est rallié à ce point de vue dans sa détermination du 5 novembre 2014, une pleine capacité de travail ne pouvant être retenue selon lui que depuis le 13 avril 2014, soit après la dernière opération chirurgicale, et conformément à l’appréciation du Dr X.________, qui avait traité l’assuré du 5 juin 2013 au 9 avril 2014. On observera que l’avis SMR du 20 août 2014 ne permet pas de tirer d’autres conclusions, puisqu’il se réfère en particulier au précédent avis SMR du 21 janvier 2014, qui suggérait précisément de se référer à l’avis du Dr C.________. On voit mal, dans ces</w:t>
      </w:r>
    </w:p>
    <w:p>
      <w:r>
        <w:t>- 16 - conditions, comment l’intimé peut maintenir le constat d’une pleine capacité de travail comme employé de commerce, au motif que cette activité serait adaptée selon son service de réadaptation. En effet, une incapacité de travail de 30 % subsisterait alors. Les constatations du Dr C.________ vont du reste dans le sens de l’atteinte complexe que décrit le Dr E.________, et n’entrent pas en contradiction avec celles du Dr X.________, qui ne retient une pleine capacité de travail qu’ensuite de l’arthrodèse pratiquée en décembre 2013. Par ailleurs, au vu du développement de l’informatique, l’avis du service de réadaptation de l’intimé n’est guère convainquant lorsqu’il expose que le travail d’employé de commerce n’impose aucun mouvement répétitif du poignet et que le recourant peut trouver un travail « qui tienne compte de petites gênes dues à son ancienne fracture du poignet », éventuellement à l’aide d’un repose poignet, sans diminution de rendement. Ce point n’a, en tous les cas, pas convaincu les médecins du SMR, qui se sont ralliés à l’appréciation du Dr C.________. Vu ce qui précède, il convient de constater, sur la base des rapports médicaux au dossier, en particulier sur la base du rapport du 5 novembre 2014 du SMR, que les atteintes au poignet gauche du recourant ont entraîné une incapacité de travail totale du 2 juin au 30 septembre 2012, puis de 30 % dans une activité adaptée permettant d’éviter toute sollicitation répétitive du poignet gauche ainsi que les travaux de force avec la main gauche. Le recourant a ensuite présenté une incapacité de travail totale du 12 décembre 2013 au 12 avril 2014, avant de recouvrer une pleine capacité de travail, y compris dans l’activité habituelle (rapport du Dr X.________ du 24 juillet 2014 et avis SMR du 5 novembre 2014). Finalement, il convient de constater qu’une incapacité de travail en raison d’atteintes à la santé psychique n’est attestée par aucun médecin. Au vu des avis médicaux concordants figurant au dossier, un complément d’instruction n’est pas nécessaire.</w:t>
      </w:r>
    </w:p>
    <w:p>
      <w:r>
        <w:t>- 17 -</w:t>
      </w:r>
    </w:p>
    <w:p>
      <w:r>
        <w:rPr>
          <w:b/>
        </w:rPr>
        <w:t>E. 5</w:t>
      </w:r>
    </w:p>
    <w:p>
      <w:r>
        <w:t>Le recourant a déposé sa demande de prestations en avril 2013, de sorte que le droit à une rente d’invalidité n’a pu prendre naissance, au plus tôt, que le 1er octobre 2013 (art. 29 al. 1 LAI). A cette date, il disposait d’une capacité résiduelle de travail de 70 % dans une activité adaptée. Le revenu qu’il pouvait réaliser dans une telle activité peut être fixé à l’aide de l’ESS 2012, plus particulièrement du tableau TA1, niveau de compétence 1. Il en ressort un salaire mensuel pour les hommes de 5'210 fr. par mois, soit un salaire annuel de 62'520 fr. pour une personne active à plein temps. Adapté à la durée normale d’une semaine de travail en 2013, soit 41.7 h, et compte tenu de l’évolution des salaires nominaux en 2013 (0.8 % pour les hommes), il en résulte que le recourant pouvait réaliser un salaire annuel de 45'989 fr. pour un taux d’activité de 70 %. Une déduction supplémentaire, liée aux circonstances propres à la personne de l’assuré et aux limitations fonctionnelles constatées, n’est pas nécessaire, l’activité retenue pour calculer le revenu d’invalide tenant déjà suffisamment compte des limitations fonctionnelles du recourant. Par comparaison, le recourant a réalisé dans son dernier emploi un revenu annuel de 58'014 fr. en 2009 et de 37’618 fr. en 2010 (sur sept mois d’activité, soit 64'488 fr. pour douze mois). En adaptant ce dernier revenu à l’évolution des salaires nominaux jusqu’en 2013, on obtient un revenu annuel sans invalidité de 66'179 fr. 20. Après comparaison avec le revenu d’invalide de 45'989 fr. fixé ci-avant, la perte de gain du recourant s’élevait à 20'190 fr. 20, ce qui entraîne, pour la période du 1er octobre 2012 au 11 décembre 2013, un degré d’invalidité de 30 %, n’ouvrant pas droit à une rente. Il n’en irait pas différemment si l’on considérait que le dernier revenu annuel réalisé n’est pas pertinent pour fixer le revenu sans invalidité, le recourant ayant perdu son dernier emploi près de deux ans avant la survenance de l’atteinte à la santé, et que l’on fixait ce revenu sans invalidité en se référant à l’ESS 2012. Il conviendrait alors de prendre en considération le salaire médian pour une activité de niveau 2 s’agissant de tâches administratives, soit 5’633 fr. par mois ou 67'596 fr. par an. Après adaptation à l’évolution des salaires nominaux entre 2012 et 2013</w:t>
      </w:r>
    </w:p>
    <w:p>
      <w:r>
        <w:t>- 18 - ainsi qu’à une durée du travail hebdomadaire de 41.7 h en moyenne, on obtiendrait un revenu annuel de 71'032 fr. 60. Après comparaison avec un revenu d’invalide de 45'989 fr., le taux d’invalidité devrait être fixé à 35 % et n’ouvrirait pas davantage droit à une rente. Dès le 12 décembre 2013, le recourant a présenté une incapacité de travail et de gain totale, mais d’une durée limitée à quelques mois, insuffisante pour ouvrir droit à une rente compte tenu de la capacité de travail de 70 % dont il disposait, précédemment, dans une activité adaptée.</w:t>
      </w:r>
    </w:p>
    <w:p>
      <w:r>
        <w:rPr>
          <w:b/>
        </w:rPr>
        <w:t>E. 6</w:t>
      </w:r>
    </w:p>
    <w:p>
      <w:r>
        <w:t>Le recours porte également sur l’octroi de mesures d’ordre professionnel. Toutefois, au vu de la pleine capacité de travail qui lui est désormais reconnue dans son métier habituel, les conclusions du recourant sur ce point sont mal fondées.</w:t>
      </w:r>
    </w:p>
    <w:p>
      <w:r>
        <w:rPr>
          <w:b/>
        </w:rPr>
        <w:t>E. 7</w:t>
      </w:r>
    </w:p>
    <w:p>
      <w:r>
        <w:t>a) Il résulte de ce qui précède que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il convient d'arrêter les frais judiciaires à 400 fr. et de les mettre à charge du recourant, qui succombe. Toutefois, dès lors qu’il a été mis au bénéfice de l'assistance judiciaire, ces frais sont laissés provisoirement à la charge de l'Etat. Il n'y a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