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ZD14.037094 vom 19. Januar 2015</w:t>
      </w:r>
    </w:p>
    <w:p>
      <w:r>
        <w:t>VD Tribunal cantonal, 2015-01-19, FR</w:t>
      </w:r>
    </w:p>
    <w:p>
      <w:r>
        <w:rPr>
          <w:b/>
        </w:rPr>
        <w:t xml:space="preserve">Quelle: </w:t>
      </w:r>
      <w:r>
        <w:t>https://mcp.opencaselaw.ch/entscheid/vd_gerichte_ZD14.037094</w:t>
      </w:r>
    </w:p>
    <w:p>
      <w:r>
        <w:t>FR: VD_GERICHTE ZD14.037094 du 19 janvier 2015</w:t>
      </w:r>
    </w:p>
    <w:p>
      <w:r>
        <w:t>IT: VD_GERICHTE ZD14.037094 del 19 gennaio 2015</w:t>
      </w:r>
    </w:p>
    <w:p>
      <w:pPr>
        <w:pStyle w:val="Heading2"/>
      </w:pPr>
      <w:r>
        <w:t>Erwägungen</w:t>
      </w:r>
    </w:p>
    <w:p>
      <w:r>
        <w:rPr>
          <w:b/>
        </w:rPr>
        <w:t>E. 3</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 Kommentar, 2e éd., Zurich/Bâle/Genève 2009, n° 22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w:t>
      </w:r>
    </w:p>
    <w:p>
      <w:r>
        <w:t>- 14 -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22 ad art. 37).</w:t>
      </w:r>
    </w:p>
    <w:p>
      <w:r>
        <w:rPr>
          <w:b/>
        </w:rPr>
        <w:t>E. 3.1</w:t>
      </w:r>
    </w:p>
    <w:p>
      <w:r>
        <w:t>; TFA I 557/04 du 29 novembre 2004 consid. 2.2 et I 319/2005 du 14 août 2006 consid. 4.2.1).</w:t>
      </w:r>
    </w:p>
    <w:p>
      <w:r>
        <w:rPr>
          <w:b/>
        </w:rPr>
        <w:t>E. 3.2</w:t>
      </w:r>
    </w:p>
    <w:p>
      <w:r>
        <w:t>Une partie est dans le besoin lorsque ses ressources ne lui permettent pas de supporter les frais de procédure et ses propres frais de</w:t>
      </w:r>
    </w:p>
    <w:p>
      <w:r>
        <w:t>- 15 -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3.3</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w:t>
      </w:r>
    </w:p>
    <w:p>
      <w:r>
        <w:t>- 16 -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3.4</w:t>
      </w:r>
    </w:p>
    <w:p>
      <w:r>
        <w:t>A titre d'exemple, dans l'affaire qui a donné lieu à l'arrêt du Tribunal fédéral I 127/07 du 7 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w:t>
      </w:r>
    </w:p>
    <w:p>
      <w:r>
        <w:t>- 17 -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 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plus proche de la constellation particulière du présent litige, le Tribunal fédéral a rejeté le recours de l’administration contre un jugement cantonal aux termes duquel l’assistance juridique gratuite en procédure administrative avait été concédée. Dans l’arrêt corrélatif, 9C_668/2009 du 25 mars 2010, la cause avait fait l’objet d’un premier jugement de renvoi de la Cour cantonale en vue d’une instruction complémentaire, sous forme d’expertise pluridisciplinaire, avant nouvelle décision sur une seconde demande de prestations AI formulée par un assuré toxicomane. La Haute Cour a relevé que le litige portait sur la « question délicate de l’évaluation de l’invalidité d’une personne toxicomane » pouvant comporter des éléments complexes sur les plans médical et juridique et « requérir des</w:t>
      </w:r>
    </w:p>
    <w:p>
      <w:r>
        <w:t>- 18 - connaissances juridiques que l’assuré n’avait à l’évidence pas » et « qu’il n’était pas en mesure d’acquérir par ses propres moyens ». Elle a ainsi reconnu la nécessité objective d’une assistance juridique, mais a laissé ouverte la question relative à l’intervention d’un avocat en lieu et place d’un assistant social. Elle a néanmoins retenu les considérations de la Cour cantonale, selon lesquelles le recours à un assistant social, en lieu et place du mandataire de l’assuré, désigné comme défenseur d’office dans le cadre de la première procédure de recours, engendrerait « une perte de temps », en sus de « frais supplémentaires inutiles, notamment liés à la prise de connaissance du dossier ». Ce faisant, elle a conclu que l’admission de la requête d’assistance juridique et la désignation de l’avocat de l’assuré comme défenseur d’office n’étaient pas critiquables (TF 9C_668/2009 du 25 mars 2010 consid. 3.1 et 4.2). 4. En l'espèce, sur les trois conditions cumulatives mises à l’octroi de l’assistance juridique gratuite, l’indigence de l’assurée, bénéficiaire de l’assistance sociale, n’est pas contestée, à l’inverse des deux autres conditions. 4.1 S’agissant de la condition afférente aux chances de succès de la procédure, l’on ne saurait se rallier à la position de l’intimé, telle que contenue dans la décision litigieuse, selon laquelle le retrait du recours interjeté contre la décision de suspension de la rente d’invalidité du 28 septembre 2011 fournirait un indice quant à l’issue de la procédure administrative subséquente. Celle-ci étant conditionnée par les conclusions d’une expertise psychiatrique, diligentée par l’OAI auprès du Dr B.________, l’on ne voit pas dans quelle mesure le retrait du recours opéré devant la Cour de céans à l’occasion de l’audience du 21 février 2014 aurait permis d’anticiper le résultat de cette instruction médicale. Quoi qu’en dise l’intimé, il y a lieu de considérer qu’à la date de la décision querellée, rien au dossier ne laissait entrevoir quelle serait l’issue du litige quant au droit à la rente d’invalidité de la recourante.</w:t>
      </w:r>
    </w:p>
    <w:p>
      <w:r>
        <w:t>- 19 - Partant, force est de déduire que le caractère aléatoire de l’instruction médicale ne justifiait pas d’inférer d’un vraisemblable insuccès de l’assurée. Il en va d’ailleurs de même s’agissant de la procédure pénale entamée sur dénonciation de l’OAI dans la mesure où son déroulement ne présageait pas du droit aux prestations de l’assurée vis-à-vis de l’AI, à l’inverse des conclusions ultérieures de l’expert psychiatre mandaté par l’intimé. 4.2 Eu égard à la complexité du litige, l’on concèdera, à l’instar de l’intimé, que les conclusions de l’expert psychiatre s’avéraient déterminantes pour mettre fin à la procédure administrative, dans le cadre de laquelle il incombait à l’OAI d’instruire les faits de la cause d’office (cf. à cet égard art. 43 LPGA). En revanche, l’on ne peut considérer que l’affaire ne revêtait aucune particularité procédurale, puisque la procédure se déroulait objectivement dans une constellation pour le moins inhabituelle. A la date de la demande d’assistance juridique gratuite du 11 mars 2014, le cas de l’assurée se trouvait en effet au stade d’une procédure d’opposition pendante, intentée depuis de nombreuses années, alors qu’une décision de suspension de la rente d’invalidité par voie de mesures provisionnelles était intervenue le 28 septembre 2011. En sus, une procédure pénale, entamée des suites de la dénonciation de l’OAI, venait apporter régulièrement des éléments a priori pris en compte en vue d’établir la décision future statuant sur le droit à la rente de la recourante. Par ailleurs, s’agissant des circonstances subjectives entourant la cause, il faut relever que si l’assurée parle et écrit la langue française et qu’elle a apparemment été en mesure de se défendre seule par le passé (cf. opposition et contestation écrites formulées par la recourante personnellement les 30 mars 2006 et 19 février 2007), il n’en demeure pas moins que la problématique psychique l’affectant – par essence fluctuante – est susceptible de l’entraver durablement et de manière</w:t>
      </w:r>
    </w:p>
    <w:p>
      <w:r>
        <w:t>- 20 - récurrente dans ses facultés. Ce constat impose de douter de son potentiel effectif à assurer sa défense efficacement sur une longue durée. Il convient dès lors d’admettre que la recourante n’était pas à même de défendre seule ses propres intérêts et qu’une assistance s’avérait indispensable à cette fin. 4.3 Vu la conclusion ci-dessus, il y a lieu de déterminer si l’assistance d’un avocat – en l’espèce de Me Olivier Carré – était nécessaire ou si d’autres professionnels, tels des représentants d’association ou des personnes de confiance d’institutions sociales auraient pu entrer en considération pour assumer la défense de la recourante. Cette question peut cependant rester ouverte, compte tenu de la jurisprudence mentionnée supra sous considérant 3.4 (TF 9C_668/2009 du 25 mars 2010 consid. 3.1 et 4.2) que l’on peut appliquer par analogie in casu. En effet, dans la mesure où Me Olivier Carré avait été mandaté dans le contexte de la procédure pénale conduite à l’encontre de la recourante et qu’il était intervenu au stade des procédures de recours précédemment introduites auprès de la Cour de céans en 2011 et 2012, le recours à une tierce personne dans le cadre de la procédure administrative aurait à l’évidence engendré une perte de temps et des frais supplémentaires injustifiés, ne fût-ce que pour la prise de connaissance du volumineux dossier de l’assurée. 4.4 Au vu de ce qui précède, il y a lieu de retenir que l'assistance d'un avocat en la personne de Me Olivier Carré se justifiait pour défendre les intérêts de la recourante durant la poursuite de la procédure administrative afin de suivre et cas échéant, d’orienter adéquatement cette dernière.</w:t>
      </w:r>
    </w:p>
    <w:p>
      <w:r>
        <w:t>- 21 - Il s’ensuit que l'OAI a violé le droit fédéral en rejetant la demande d'assistance juridique gratuite formulée pour le compte de l’assurée le 11 mars 2014. Le recours doit en conséquence être admis, ce qui entraîne l’annulation de la décision attaquée, la cause étant en tant que de besoin renvoyée à l’OAI pour l’établissement d’une décision afférentes aux honoraires de Me Olivier Carré dès le 11 mars 2014 (cf. TF 9C_923/2009 du 10 mai 2010 consid. 4.1.3 rappelant que l’octroi de l’assistance judiciaire déploie ses effets à partir de la présentation de la requête corrélative). 5. 5.1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w:t>
      </w:r>
    </w:p>
    <w:p>
      <w:r>
        <w:t>- 22 -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5.2 Obtenant gain de cause, la recourante, assistée d'un mandataire professionnel, a droit à des dépens, fixés in casu à 2’000 fr. (art. 61 let. g LPGA, 55 al. 1 LPA-VD et 7 TFJAS [tarif des frais judiciaires et des dépens en matière de droit des assurances sociales ; RSV 173.36.5.2]), lesquels permettent de couvrir les honoraires afférents à l’intervention de Me Carré.</w:t>
      </w:r>
    </w:p>
    <w:p>
      <w:r>
        <w:t>- 23 -</w:t>
      </w:r>
    </w:p>
    <w:p>
      <w:r>
        <w:rPr>
          <w:b/>
        </w:rPr>
        <w:t>E. 7</w:t>
      </w:r>
    </w:p>
    <w:p>
      <w:r>
        <w:t>janvier 2008 consid. 5.2.1 ; 9C_105/2007 du 13 novembre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