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ZD14.033601 vom 27. November 2015</w:t>
      </w:r>
    </w:p>
    <w:p>
      <w:r>
        <w:t>VD Tribunal cantonal, 2015-11-27, FR</w:t>
      </w:r>
    </w:p>
    <w:p>
      <w:r>
        <w:rPr>
          <w:b/>
        </w:rPr>
        <w:t xml:space="preserve">Quelle: </w:t>
      </w:r>
      <w:r>
        <w:t>https://mcp.opencaselaw.ch/entscheid/vd_gerichte_ZD14.033601</w:t>
      </w:r>
    </w:p>
    <w:p>
      <w:r>
        <w:t>FR: VD_GERICHTE ZD14.033601 du 27 novembre 2015</w:t>
      </w:r>
    </w:p>
    <w:p>
      <w:r>
        <w:t>IT: VD_GERICHTE ZD14.033601 del 27 novembre 2015</w:t>
      </w:r>
    </w:p>
    <w:p>
      <w:pPr>
        <w:pStyle w:val="Heading2"/>
      </w:pPr>
      <w:r>
        <w:t>Erwägungen</w:t>
      </w:r>
    </w:p>
    <w:p>
      <w:r>
        <w:rPr>
          <w:b/>
        </w:rPr>
        <w:t>E. 19</w:t>
      </w:r>
    </w:p>
    <w:p>
      <w:r>
        <w:t>mai 2014, contient les remarques suivantes, émanant du Dr P.________, spécialiste en psychiatrie et psychothérapie : « Dr P.________ : Il tient à clarifier que si son patient est venu [à la Fondation] L.________ c’est parce qu’il a besoin d’aide pour un problème d’alcool. Il est important de différencier le THADA de la consommation d’alcool. Il relève que selon lui l’AI n’a pas tenu compte du rapport du Dr E.________ qui précisait que le taux d’occupation était de 80% dans un milieu adapté. En effet, ce dernier terme semble ne pas avoir été pris en compte. D’autre part, il constate que [l’assuré] mobilise des compétences qui lui permettent, dans un cadre protégé, d’avancer. Que pourrait-il retenir de ce cadre après son séjour [à la Fondation] L.________ ? Le Dr P.________ précise que l’on peut être hyperactif et ne pas consommer d’alcool. Il informe qu’il a des doutes quant au diagnostic de THADA, raison pour laquelle il modifie le traitement, modifications qui seraient impossibles en ambulatoire. » Le second bilan du 9 juillet 2014 a mis en évidence les propos du praticien précité comme suit : « Dr P.________ : Cela fait cinq mois qu’il suit [l’assuré]. Il prend note que [l’assuré] est arrivé à la conclusion de ne pas avoir besoin d’alcool, grâce à son sevrage chez R.________ [réd. : Unité R.________ du Service d’alcoologie du Centre hospitalier S.________] les avertissements et les bonnes stratégies pendant sa convalescence bénéfique [à la Fondation] L.________. Il apprend également que [l’assuré] a arrêté l’antabuse il y a une semaine. Le Dr P.________ partage son optimisme, mais reste plus réservé à la problématique de rechute à l’alcool. Il est important de ne pas oublier que c’est une maladie difficile, il faut donc garder des structures et voir comment prévenir la rechute. Si l’alcool revient, ça va mettre à mal la suite de ses projets. Le Dr P.________ soulève que la première étape de ne pas vouloir consommer est acquise. » L’intimé a produit sa réponse au recours le 23 septembre 2014, en proposant le rejet. Il a souligné les avis à son sens concordants des Drs E.________ et H.________ en termes de capacité de travail, à savoir 80% dans l’activité habituelle sous réserve d’un cadre conciliant, estimant que le marché équilibré du travail offrait des activités respectant les restrictions observées auprès de l’assuré. Il a par ailleurs sollicité la production du certificat de travail établi des suites de l’activité exercée par l’intermédiaire de l’assurance-chômage d’avril 2011 à septembre 2011. A l’occasion de sa réplique du 6 novembre 2014, l’assuré a fourni ledit certificat, rédigé le 14 octobre 2011, lequel a énuméré les</w:t>
      </w:r>
    </w:p>
    <w:p>
      <w:r>
        <w:t>- 11 - activités effectuées par le recourant à la satisfaction de son employeur. L’assuré a souligné que ce document ne reflétait pas les difficultés rencontrées à ce poste, tout en soulignant avoir également débuté une activité d’huissier en 2012 avec l’aide de l’assurance-chômage. Il avait toutefois dû interrompre celle-ci après 15 jours du fait d’une aggravation de son état de santé psychique. Il a proposé que fussent produits les dossiers constitués par les organes de l’assurance-chômage et de l’assistance sociale. L’OAI s’est déterminé le 25 novembre 2014, proposant derechef le rejet du recours, non sans rappeler que l’assuré avait pu exercer une activité lucrative sur une période non négligeable de six mois et effectuer des tâches conséquentes dans ce contexte. En outre, l’intimé a mis en exergue les doutes évoqués par le Dr P.________ quant au diagnostic de TDA-H. Par écriture du 6 janvier 2015, le recourant a notamment suggéré la mise en œuvre d’une nouvelle expertise psychiatrique au vu des échecs observés à la reprise d’une activité lucrative et d’une aggravation de son état de santé psychique. A la même date, la juge instructrice a questionné le Dr P.________ quant à ses doutes diagnostiques et les modifications apportées au traitement de l’assuré. Ce spécialiste a répondu le 12 janvier 2015, énumérant les diagnostics suivants dans le cas de son patient : « Syndrome de dépendance à l’alcool, actuellement abstinent sous traitement médicamenteux (F10.22). Trouble dépressif récurrent, épisode actuel léger. Trouble déficitaire de l’attention-hyperactivité. Mésusage de Ritaline. Insulino-résistance. Hernie hiatale. Status post-fracture ouverte tibia et péroné droits. » Il a notamment précisé ce qui suit :</w:t>
      </w:r>
    </w:p>
    <w:p>
      <w:r>
        <w:t>- 12 - « […] Mes doutes émis en ce qui concerne le THADA sont liés aux aspects de l’intensité de cette maladie et du mésusage de la Ritaline et du Concerta (abus de substance). Dans ce contexte, j’ai introduit d’autres médicaments capables peut-être d’aider un peu mieux ce patient dans la gestion de ses difficultés. […] » L’OAI a eu l’opportunité de se prononcer sur les réponses du Dr P.________ le 9 février 2015, leur signification lui apparaissant peu claire. Il a néanmoins mis en exergue l’abus de substance relevé par ce praticien susceptible d’engendrer des effets secondaires importants, s’interrogeant en conséquence sur les difficultés professionnelles effectives de l’assuré. L’intimé a au surplus maintenu ses conclusions tendant au rejet du recours. Le 26 mai 2015, le recourant a rappelé que le diagnostic de TDA-H avait été établi à son sens à satisfaction et estimé qu’au vu de l’aggravation alléguée de son état de santé psychique, l’instruction de son cas s’avérait incomplète. Il s’est référé à ses précédentes écritures. L’intimé a indiqué ne pas avoir de commentaire supplémentaire à formuler le 29 juin 2015, tout en rappelant l’activité exercée par le recourant sur une durée de six mois et l’impact potentiel d’un abus de substance. En date du 9 septembre 2015, Me Duc a fourni la liste détaillée de ses activités suite à la requête en ce sens du 4 septembre 2015. La cause a été au surplus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- 13 -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20 août 2014 contre la décision de l’OAI du 18 juin 2014 a été interjeté en temps utile, compte tenu des féries judiciaires estivales (cf. art. 38 al. 4 let. b LPGA, sur renvoi de l’art. 60 al. 2 LPGA). Les formalités prévues par la loi, au sens notamment de l’art. 61 let. b LPGA, ont été par ailleurs respectées. Le recours peut en conséquence être qualifié de recevable de sorte qu’il y a lieu d’entrer en matière. 2. Est litigieux dans le cas particulier le droit de l’assuré à des prestations AI au motif d’atteintes à la santé psychique.</w:t>
      </w:r>
    </w:p>
    <w:p>
      <w:r>
        <w:t>- 14 - Cette querelle s’inscrit dans le contexte d’une quatrième requête de prestations, formulée le 15 juin 2012 par le recourant auprès de l’OAI, consécutivement à une décision antérieure niant la réalisation des éléments constitutifs d’une invalidité, datée du 20 octobre 2008, et à une décision de refus d’entrer en matière du 1er décembre 2010. Vu ces éléments, il s’agira en premier lieu de rappeler les principes régissant le réexamen des décisions entrées en force, puis dans un second temps d’examiner si les pièces médicales versées au dossier suite à l’entrée en matière de l’OAI sur la nouvelle demande de prestations du 15 juin 2012 permettent de se prononcer sur les droit litigieux.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w:t>
      </w:r>
    </w:p>
    <w:p>
      <w:r>
        <w:t>- 15 - réduction ou une suppression de prestations en cours ou l’octroi de nouvelles prestations peut se justifier en fonction d’une pesée des intérêts ou de dispositions transitoires particulières (ATF 135 V 215 consid. 4). b) Selon l'art. 87 al. 2 RAI (règlement du 17 janvier 1961 sur l'assurance-invalidité ;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c)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w:t>
      </w:r>
    </w:p>
    <w:p>
      <w:r>
        <w:t>- 16 -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d)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w:t>
      </w:r>
    </w:p>
    <w:p>
      <w:r>
        <w:t>- 17 - 2.1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e) Il convient dans le cas présent de déterminer si une aggravation de l’état de santé du recourant, rendue plausible par la production du rapport du Dr E.________ du 2 juillet 2012 et de l’attestation du Dr E.________ du 30 mai 2012, est effectivement intervenue depuis la précédente décision au fond, soit celle de refus de prestations du 20 octobre 2008. On examinera en particulier dans ce contexte la teneur du rapport d’expertise du Dr H.________ du 4 juillet 2013 et de son complément du 3 février 2014, ce à la lumière de la jurisprudence fédérale relative à la valeur probante des pièces médicales. Il s’agira également de déterminer si les nouvelles pièces produites par le recourant en procédure de recours, soit les rapports de la Fondation L.________, et si les explications fournies le 12 janvier 2015 par le Dr P.________ à la demande de la juge instructrice ont lieu d’être prises en considération pour statuer sur le bien-fondé éventuel de la décision de l’OAI du 18 juin 2014. Le litige est en effet circonscrit matériellement et temporellement par la décision précitée, qui a nié le droit de l’assuré aussi bien à une rente AI qu’à une mesure de reclassement professionnel, en considérant sur la base des conclusions du SMR que le recourant était doté d’une capacité de travail de 100% dans son activité habituelle d’employé de commerce, sous suite d’une baisse de rendement limitée à 20%. 4. Il y a lieu, avant d’examiner plus avant ces questions, de rappeler les dispositions légales relatives à l’invalidité, ainsi que la</w:t>
      </w:r>
    </w:p>
    <w:p>
      <w:r>
        <w:t>- 18 - jurisprudence rendue en matière de troubles psychiques et de dépendances.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w:t>
      </w:r>
    </w:p>
    <w:p>
      <w:r>
        <w:t>- 19 -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De jurisprudence fédérale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w:t>
      </w:r>
    </w:p>
    <w:p>
      <w:r>
        <w:t>- 20 - valeur de maladie (ATF 124 V 265 consid. 3c et référence citée ; TF 9C_960/2009 du 24 février 2010 consid. 2.2 ; 9C_395/2007 du 15 avril 2008 consid. 2.2 ; TFA I 758/01 du 5 novembre 2002 consid. 1.1). On ajoutera que la situation de fait doit faire l'objet d'une appréciation globale incluant aussi bien les causes que les conséquences de la dépendance, ce qui implique de tenir compte d'une éventuelle interaction entre dépendance et comorbidité psychiatrique (TF 9C_706/2012 du 1er juillet 2013 consid. 3.2).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références citées ; TF 9C_395/2007 du 15 avril 2008 consid. 2.2 ; 8C_356/2012 du 11 février 2013 et références citées).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conclut à la conclusion que la dépendance est seule déterminante du point de vue de l’assurance-invalidité, il n’y a pas lieu d’opérer une distinction entre les différentes atteintes à la santé (TF 9C_395/2007 du 15 avril 2008 consid. 2.4). Lorsqu’une toxicodépendance n’est ni la cause ni la conséquence d’une atteinte à la</w:t>
      </w:r>
    </w:p>
    <w:p>
      <w:r>
        <w:t>- 21 - santé physique ou psychique ayant valeur de maladie, on emploie parfois la terminologie d’affection « primaire », qui n’est pas constitutive d’invalidité au sens de la jurisprudence fédérale (TF 9C_219/2007 du 3 avril 2008).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w:t>
      </w:r>
    </w:p>
    <w:p>
      <w:r>
        <w:t>- 22 -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w:t>
      </w:r>
    </w:p>
    <w:p>
      <w:r>
        <w:t>- 23 - 6. a) In casu, l’assuré a fait l’objet d’un examen clinique le 26 juin 2013 auprès du Dr H.________ dans le contexte du mandat d’expertise confié à ce dernier par l’intimé. Le Dr H.________ a disposé de l’ensemble des pièces médicales du dossier constitué par l’OAI et s’est entretenu avec le psychiatre traitant de l’assuré, le Dr E.________. L’expert n’a cela étant procédé à aucun test pour se prononcer sur les diagnostics évoqués dans le cas du recourant, soit essentiellement ceux de « trouble dépressif récurrent » ou de « TDA-H », expliquant que pour ce diagnostic-ci chez l’adulte, il n’existait pas de questionnaire en langue française (cf. rapport d’expertise du 4 juillet 2013 et complément du 3 février 2014, réponse à la question 1 de l’OAI). L’expert a en définitive fourni ses conclusions en termes diagnostiques en retenant celui de « TDA-H » sur la base de son observation au cours de l’unique entretien du 26 juin 2013 et s’est pour l’essentiel calqué sur les éléments communiqués en son temps par le Dr E.________ à l’OAI. Est cela étant relevée une « consommation épisodique mais excessive d’alcool » sur la base des déclarations de l’assuré sans que l’expert n’eût jugé utile de procéder à de plus amples investigations à cet égard, comme par exemple la passation de tests sanguins. Le Dr H.________ s’est en effet limité à reprendre les propos du recourant selon lesquels « il consid[érait] ne pas avoir un problème avec l’alcool » (cf. rapport d’expertise du 4 juillet 2013 p. 6). Si on peut d’emblée douter de l’exhaustivité des examens utiles dans le cas particulier vu les éléments ci-dessus, le rapport d’expertise du Dr H.________ doit de toute façon se voir nier quelconque valeur probante au vu des contradictions contenues dans les conclusions communiquées par ce praticien. En effet, à la lecture du rapport d’expertise du 4 juillet 2013, on peut déduire dans un premier temps que l’assuré serait doté d’une capacité de travail entière dans son activité</w:t>
      </w:r>
    </w:p>
    <w:p>
      <w:r>
        <w:t>- 24 - habituelle d’employé de commerce, l’expert excluant expressément toute « répercussion quantitative » du diagnostic de TDA-H sur dite capacité. Seule une baisse de rendement de 20% ou un impact sur la qualité du travail dans cette même mesure pourrait être reconnu. Les limitations fonctionnelles du recourant seraient celles liées à son « impatience, précipitation, difficulté organisationnelle et faible tolérance au stress et aux contraintes sociales ». Néanmoins, dans le même temps, l’expert a préconisé la mise en place de mesures professionnelles avec « une reprise progressive de l’activité avec un taux initial de 50% à augmenter progressivement sur une période de six mois » (cf. rapport d’expertise du 4 juillet 2013 p. 9 et 10). En outre, ces observations n’ont pas du tout été reprises aux termes du complément d’expertise du 3 février 2014 où le Dr H.________ a expressément estimé que « l’état de santé de [l’assuré] ne lui para[issait] pas compatible avec l’exercice d’une activité professionnelle » compte tenu de ses limitations fonctionnelles (cf. complément du 3 février 2014, réponse à la question 2). Il n’est dès lors pas possible de se prononcer clairement sur la capacité de travail effective du recourant, en se fondant sur les rapports communiqués par le Dr H.________. b) Le recourant a par ailleurs produit les bilans de la Fondation L.________ des 19 mai 2014 et 9 juillet 2014 à l’appui de sa contestation, tandis que son nouveau psychiatre traitant, le Dr P.________, a été sollicité par la juge instructrice au vu des doutes exprimés par ce dernier quant au diagnostic de TDA-H. Si ces documents sont certes pour la plupart postérieurs à la date de la décision litigieuse, il n’en demeure pas moins qu’ils apportent des éléments dont on ne peut exclure l’influence sur l’état de santé de l’assuré au moment de l’émission de ladite décision.</w:t>
      </w:r>
    </w:p>
    <w:p>
      <w:r>
        <w:t>- 25 - En effet, l’intégration du recourant au sein de la Fondation L.________ fait suite à une consommation excessive d’alcool, au demeurant avouée précédemment au Dr H.________, sans que l’expert n’eût examiné plus avant cette question. La survenance forcément antérieure à la décision litigieuse, les causes et les effets de cette éventuelle dépendance ne sont cependant aucunement précisés de sorte qu’il n’est pas possible de déterminer si des conséquences durables de cette problématique doivent être prises en compte en termes de capacité de travail. Le bref rapport du Dr P.________ du 12 janvier 2015 ne permet pas de tirer de nouvelles conclusions à cet égard, dans la mesure où ce psychiatre s’est limité à retenir le diagnostic d’une « dépendance à l’alcool » sans autres précisions. Il a cela étant ajouté pour sa part notamment les diagnostics de « trouble dépressif récurrent » et de « mésusage de Ritaline » sans les développer plus avant. Compte tenu de ce qui précède, il n’est pas possible à ce stade de déterminer précisément de quelles affections est atteint l’assuré, si le recourant souffre ou non d’alcoolisme et si cette possible affection remplit les conditions posées par la jurisprudence fédérale citée supra sous considérant 4c pour se voir élevée au rang d’atteinte à la santé ayant valeur d’invalidité. 7. Etant donné les carences dont souffre le dossier de la cause sur le plan médical, il n’est pas possible en l’état de statuer sur une éventuelle aggravation de l’état de santé de l’assuré depuis la décision du</w:t>
      </w:r>
    </w:p>
    <w:p>
      <w:r>
        <w:rPr>
          <w:b/>
        </w:rPr>
        <w:t>E. 20</w:t>
      </w:r>
    </w:p>
    <w:p>
      <w:r>
        <w:t>octobre 2008, un complément d’instruction devant incontestablement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w:t>
      </w:r>
    </w:p>
    <w:p>
      <w:r>
        <w:t>- 26 -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w:t>
      </w:r>
    </w:p>
    <w:p>
      <w:r>
        <w:t>- 27 -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incombait à l’OAI de procéder à l’ensemble des mesures d’instruction permettant d’élucider la situation médicale du recourant. Singulièrement, il lui appartenait de compléter le volet psychiatrique de la situation au vu des conclusions divergentes de l’expert mandaté par ses soins, le Dr H.________. Il s’imposait en effet à tout le moins de solliciter une nouvelle fois l’expert en le confrontant à ses contradictions et en requérant toutes explications utiles, indispensables à la détermination de la capacité de travail résiduelle de l’assuré. Il aurait éventuellement été judicieux de mandater un nouvel expert afin de dissiper les doutes subsistant suite aux conclusions communiquées par le Dr H.________. Le renvoi à l’intimé se justifie dès lors conformément à la jurisprudence fédérale mentionnée ci-avant, sans que l’on puisse toutefois lui reprocher de ne pas avoir investigué plus avant la question de l’éventuelle dépendance à l’alcool de l’assuré, avancée au stade de la présente procédure. L’OAI se devra en conséquence de conduire une instruction complémentaire de la situation psychiatrique de l’assuré. Cette instruction comprendra de nouvelles investigations cliniques, une analyse exhaustive de l’ensemble des avis médicaux à disposition et, si nécessaire, la sollicitation de renseignements auprès des spécialistes, médecins ou intervenants sociaux en charge du recourant. Il s’agira dans ce contexte de fixer précisément les diagnostics affectant effectivement le recourant, y inclus de possibles dépendances, et leur survenance, ainsi que de se prononcer sur leur impact éventuel en termes de capacité de travail dans l’activité habituelle et dans une activité</w:t>
      </w:r>
    </w:p>
    <w:p>
      <w:r>
        <w:t>- 28 - adaptée. Ce n’est qu’à l’issue de ce complément que pourra être déterminé si un motif de réexamen de la situation du recourant, qui serait survenu depuis le 20 octobre 2008, est ou non avéré en l’occurrence. 8. a) Il résulte de ce qui précède que le recours, partiellement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2'000 fr. (art. 61 let. g LPGA et 55 al. 1 LPA-VD). d) Le recourant bénéficie, au titre de l'assistance judiciaire, de la commission d'office d'un avocat en la personne de Me Jean-Michel Duc à compter du 20 août 2014 jusqu'au terme de la présente procédure (art. 118 al. 1 let. c CPC, applicable par renvoi de l'art. 18 al. 5 LPA-VD). Me Duc a produit le relevé des opérations effectuées pour le compte de son mandant en date du 9 septembre 2015. Son activité a été contrôlée au regard de la conduite du procès, l’avocat précité ayant fait état de vingt heures et cinq minutes déployées du 13 juin 2014 au 9 septembre 2015, tant par lui-même que par l’un de ses collaborateurs. Cela étant, on observe que la liste d’activités en question fait mention de démarches effectuées à une date antérieure à la réception de la décision litigieuse, qu’il y a donc lieu de retrancher des activités entrant</w:t>
      </w:r>
    </w:p>
    <w:p>
      <w:r>
        <w:t>- 29 - dans le cadre de la présente procédure. On admettra en conséquence les honoraires comptabilisés à compter du 24 juin 2014. S’agissant du nombre d’heures consacré à l’écriture du recours en soi, totalisant près de dix heures, il convient de les réduire d’environ trois heures, la spécificité du cas ne requérant pas a priori plus d’une journée de travail. En outre, cette réduction permet aussi de retrancher le temps consacré à double par Me Duc et son collaborateur à des opérations similaires. Par ailleurs, il y a lieu de retirer le temps comptabilisé à double pour une entrevue avec l’assuré datée du 10 septembre 2014. De même, des correspondances et des échanges téléphoniques avec des médecins, mentionnés à partir de mars 2015, dont les rapports ou avis n’ont pas été produits auprès de la Cour de céans, n’ont pas à être pris en considération au titre de l’assistance judiciaire. L’activité de Me Duc doit en définitive être arrêtée à quinze heures au tarif horaire de 180 fr. (art. 2 al. 1 let. a RAJ [règlement cantonal vaudois du 7 décembre 2010 sur l'assistance judiciaire civile ; RSV 211.02.3]), à quoi s'ajoutent des débours réduits à 100 fr. et la TVA au taux de 8%, ce qui représente un montant total de 3’024 fr. pour l'ensemble de l'activité assumée dans la présente cause. Cette rémunération n’est que partiellement couverte par les dépens devant être acquittés par l’OAI, de sorte que le solde à hauteur de 1’024 fr. est provisoirement supporté par le canton, ce dernier étant subrogé à concurrence de ce montant (cf. art. 122 al. 2 in fine CPC, également applicable par renvoi). Le recourant est rendu attentif au fait qu'il est tenu de rembourser la somme de 1’024 fr. dès qu'il sera en mesure de le faire en vertu de l’art. 123 al. 1 CPC précité. Il incombera au Service juridique et</w:t>
      </w:r>
    </w:p>
    <w:p>
      <w:r>
        <w:t>- 30 - législatif d’en fixer les modalités (cf. art. 5 RAJ), la subrogation étant réservée.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