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ZD14.028868 vom 12. Februar 2016</w:t>
      </w:r>
    </w:p>
    <w:p>
      <w:r>
        <w:t>VD Tribunal cantonal, 2016-02-12, FR</w:t>
      </w:r>
    </w:p>
    <w:p>
      <w:r>
        <w:rPr>
          <w:b/>
        </w:rPr>
        <w:t xml:space="preserve">Quelle: </w:t>
      </w:r>
      <w:r>
        <w:t>https://mcp.opencaselaw.ch/entscheid/vd_gerichte_ZD14.028868</w:t>
      </w:r>
    </w:p>
    <w:p>
      <w:r>
        <w:t>FR: VD_GERICHTE ZD14.028868 du 12 février 2016</w:t>
      </w:r>
    </w:p>
    <w:p>
      <w:r>
        <w:t>IT: VD_GERICHTE ZD14.028868 del 12 febbraio 2016</w:t>
      </w:r>
    </w:p>
    <w:p>
      <w:pPr>
        <w:pStyle w:val="Heading2"/>
      </w:pPr>
      <w:r>
        <w:t>Erwägungen</w:t>
      </w:r>
    </w:p>
    <w:p>
      <w:r>
        <w:rPr>
          <w:b/>
        </w:rPr>
        <w:t>E. 5</w:t>
      </w:r>
    </w:p>
    <w:p>
      <w:r>
        <w:t>Déficit fonctionnel […] En ce qui concerne l’atteinte à l'intégrité en cas d’acouphènes la table 13 permet de retenir un acouphène léger (il est permanent, unilatéral, modérément perturbant pour le patient sans influence négative dans la vie de tous les jours) […]. En ce qui concerne les troubles de l’équilibre et les vertiges, selon la table 14, il s’agit d’une atteinte objectivable du système de l’équilibre moyenne avec des troubles subjectifs sévères. Dans ce cas l’atteinte à l’intégrité corporelle est de 25%. […]</w:t>
      </w:r>
    </w:p>
    <w:p>
      <w:r>
        <w:rPr>
          <w:b/>
        </w:rPr>
        <w:t>E. 6</w:t>
      </w:r>
    </w:p>
    <w:p>
      <w:r>
        <w:t>Le recourant sollicite la tenue d’une audience. L'art. 61 let. c LPGA prévoit le principe de la libre appréciation des preuves, selon lequel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w:t>
      </w:r>
    </w:p>
    <w:p>
      <w:r>
        <w:t>- 30 - litigieux. S'il existe des avis contradictoires, il ne peut trancher l'affaire sans indiquer les raisons pour lesquelles il se fonde sur une opinion plutôt qu'une autre (ATF 125 V 351 consid. 3a ; TF 9C_237/2013 du 22 mai 2013 consid. 4.1). En l’occurrence, les pièces au dossier, en particulier l’expertise pluridisciplinaire du 25 juin 2009, sont suffisamment probantes pour permettre à la Cour de céans de statuer en toute connaissance de cause. La tenue d’une audience ne conduirait dès lors pas à modifier la conviction du Tribunal et ne serait par conséquent pas de nature à influer sur l’issue de la présente cause, étant rappelé que l’appréciation de la capacité de travail se fonde sur des éléments de preuve médicaux (cf. ATF 132 V 93 consid. 4 ; TF 9C_687/2013 du 24 juin 2014 consid. 3.1.1 et les références) et non sur les déclarations d’une partie.</w:t>
      </w:r>
    </w:p>
    <w:p>
      <w:r>
        <w:rPr>
          <w:b/>
        </w:rPr>
        <w:t>E. 7</w:t>
      </w:r>
    </w:p>
    <w:p>
      <w:r>
        <w:t>En définitive, il apparaît que la décision rendue par l’intimé le 26 juin 2014 ne prête pas le flanc à la critique tant en ce qui concerne l’évaluation médicale que s’agissant du calcul du préjudice économique subi. Il s’ensuit que le recours, mal fondé, doit être rejeté et la décision attaquée confirmée.</w:t>
      </w:r>
    </w:p>
    <w:p>
      <w:r>
        <w:rPr>
          <w:b/>
        </w:rPr>
        <w:t>E. 8</w:t>
      </w:r>
    </w:p>
    <w:p>
      <w:r>
        <w:t>a)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w:t>
      </w:r>
    </w:p>
    <w:p>
      <w:r>
        <w:t>- 31 - charge du recourant, qui succombe (art. 69 al. 1bis LAI ; art. 49 al. 1 LPA- VD). Toutefois, dès lors que le recourant est au bénéfice de l’assistance judiciaire, ces frais sont laissés provisoirement à la charge de l’Etat. Il n’y a au demeurant pas lieu d’allouer de dépens, le recourant n’obtenant pas gain de cause (art. 55 al. 1 LPA-VD ; cf. art. 61 let. g LPGA). b) Le recourant a obtenu, au titre de l’assistance judiciaire, la commission d’office d’un avocat en la personne de Me Alain Ribordy à compter du 11 juillet 2014 jusqu’au terme de la présente procédure (art. 118 al. 1 let. c CPC, applicable par renvoi de l’art. 18 al. 5 LPA-VD). La rémunération de l’avocat d’office est provisoirement supportée par le canton (art. 122 al. 1 let. a CPC, applicable par renvoi de l’art. 18 al. 5 LPA- VD),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RSV 211.02.3]) en tenant compte des montants payés à titre de contribution mensuelle depuis le début de la procédure. Le 19 novembre 2015, Me Ribordy a produit le relevé des opérations effectuées dans le cadre de la présente procédure pour la période courant du 10 – 11 juillet 2014 au 19 novembre 2015. Son activité a été contrôlée au regard de la conduite du procès et rentre globalement dans le cadre de l’accomplissement du mandat confié, de sorte qu’elle doit être arrêtée à 570 minutes, soit 9 heures 30, au tarif horaire de 180 fr. (art. 2 al. 1 RAJ), soit 1'710 fr., à quoi s’ajoutent 125 fr. 70 de débours, ce qui représente un montant total en faveur de Me Ribordy de 1'982 fr. 55, TVA au taux de 8% par 146 fr. 86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