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ZD14.023460 vom 16. April 2015</w:t>
      </w:r>
    </w:p>
    <w:p>
      <w:r>
        <w:t>VD Tribunal cantonal, 2015-04-16, FR</w:t>
      </w:r>
    </w:p>
    <w:p>
      <w:r>
        <w:rPr>
          <w:b/>
        </w:rPr>
        <w:t xml:space="preserve">Quelle: </w:t>
      </w:r>
      <w:r>
        <w:t>https://mcp.opencaselaw.ch/entscheid/vd_gerichte_ZD14.023460</w:t>
      </w:r>
    </w:p>
    <w:p>
      <w:r>
        <w:t>FR: VD_GERICHTE ZD14.023460 du 16 avril 2015</w:t>
      </w:r>
    </w:p>
    <w:p>
      <w:r>
        <w:t>IT: VD_GERICHTE ZD14.023460 del 16 aprile 2015</w:t>
      </w:r>
    </w:p>
    <w:p>
      <w:pPr>
        <w:pStyle w:val="Heading2"/>
      </w:pPr>
      <w:r>
        <w:t>Erwägungen</w:t>
      </w:r>
    </w:p>
    <w:p>
      <w:r>
        <w:rPr>
          <w:b/>
        </w:rPr>
        <w:t>E. 2</w:t>
      </w:r>
    </w:p>
    <w:p>
      <w:r>
        <w:t>x 60 mg/kg et une irradiation corporelle totale de 6 x 2 Gy. Depuis lors le patient est en rémission compléte. - Développement d’une maladie contre hôte sévère, hépatique et cutanée dès juin 2006, nécessitant un traitement très lourd : atteinte chronique cutanée, hépatique, buccale, oculaire et musculaire. - Diabète induit par la cortisone dès septembre 2010.” Malgré un pronostic favorable sous traitement immunosuppresseurs extrêmement lourd devant être poursuivi à long terme, le Dr L.________ observait un patient très fatigué, immunocompromis, dont le status clinique ne lui permettait plus de travailler à 100% malgré de considérables efforts fournis pour la reprise d’activité professionnelle. De l’avis de cet oncologue, son patient présentait une incapacité de travail à 50% dès le 11 janvier 2012. Le Dr L.________ précisait par ailleurs que, malgré de nombreuses limitations fonctionnelles liées notamment à son amyotrophie et à sa grande fatigue depuis deux ans, l’assuré n’avait pas voulu diminuer son temps de travail. Par courrier du 19 septembre 2012, l’ancien employeur a communiqué à l’Office AI le montant des bonus encaissés par l’assuré figurant dans ses certificats de salaire qui étaient joints. Il en ressort qu’en sus de son salaire annuel contractuel de 161'400 fr. (13'450 fr. servis douze fois l’an), Z.________ a touché 686'510 fr. 30 de bonus et 27'945 fr. 75 de droits de participation en 2010 ainsi que 1'029'196 fr. 35 de bonus en 2011. S’agissant de la période en cours, soit du 1er janvier au 30 septembre 2012, le montant de son bonus se montait alors à 705'571 fr. 80. A l’occasion d’un rapport du 23 octobre 2012, le Dr F.________ du Service Médical Régional (SMR) de l’AI a retenu en tant qu’atteinte principale à la santé celle de leucémie myéloïde chronique (C92.1) avec comme pathologies associées du ressort de l’AI celles de crise blastique de type leucémie lymphoblastique aiguë (le 28.12.2005), de</w:t>
      </w:r>
    </w:p>
    <w:p>
      <w:r>
        <w:t>- 5 - transplantation allogène de cellules souches hématopoïétiques (le 28.02.2006), de divers types de chimiothérapie, de maladie sévère du greffon contre l’hôte à expression hépatique et cutanée (dès juin 2006) et de diabète induit par la cortisone (dès septembre 2010). Le médecin du SMR estimait que l’assuré était en incapacité de travail à 50% dès le 1er septembre 2011, ceci tant dans son activité professionnelle habituelle que dans une activité adaptée à ses limitations fonctionnelles (à savoir : fatigue, troubles de la concentration, troubles du sommeil, amyotrophie, sensation de tensions musculaires, sécheresse oculaire et pas de port de charges de plus de 5 kilos). Le Dr F.________ s’est exprimé en ces termes sur le cas de l’assuré qui lui était soumis pour appréciation par l’OAI : “Assuré de 44 ans, Suisse, marié, deux enfants (1998-2000) au bénéfice d’un diplôme HEC de l’université de [...], travaillant en tant que banquier depuis 1992. Il est connu pour une leucémie myéloïde chronique depuis 2005 ayant entraîné malgré les traitements une crise blastique. Après transplantation en 2006, il développe quelques mois plus tard une maladie du greffon contre l’hôte nécessitant un traitement très lourd y compris de la cortisone qui induira l’apparition d’un diabète. L’incapacité de travail est justifiée principalement par le syndrome de fatigue chronique occasionné par la chimiothérapie, des troubles du sommeil dus à la prednisone, l’amyotrophie en résultant et la réaction que le greffon contre l’hôte provoque. La date de l’incapacité de travail est difficile à déterminer. Le médecin traitant la situe à 50% dès le 11 janvier 2012. L’oncologue, s’il s’en tient à peu près à la même date, à savoir le 11 janvier 2012, nous signale que depuis deux ans, l’assuré n’a pas voulu diminuer son temps de travail. Cela suggère que le patient a travaillé au- dessus de ses forces. Cette attitude résulte de ma propre expérience de travail avec des patients souffrant de syndrome myélo- prolifératifs durant une année au CHUV en hématologie durant ma formation. Je propose en raison de cette notion et de l’avis concordant des médecins traitants, de prendre le 1er septembre 2011 comme date de début de l’incapacité de travail. Cette attitude pragmatique que l’on peut suivre au plan médical, devra être soumise et partagée ou non avec le service juridique.” Par communication du 25 octobre 2012, l’OAI a informé l’assuré qu’aucune mesure de réadaptation d’ordre professionnel n’était actuellement envisageable compte tenu de son état de santé et que son droit à une rente allait être examiné, de sorte qu’il recevrait plus tard une décision séparée s’y rapportant.</w:t>
      </w:r>
    </w:p>
    <w:p>
      <w:r>
        <w:t>- 6 - A teneur de certificats médicaux des 25 septembre et 29 octobre 2012 du Dr L.________, l’assuré était en incapacité de travail à 60% dès le 25 septembre 2012 et pour une durée indéterminée. Il y était mentionné également qu’en raison de son état de santé il devait être dispensé de voyager. Dans un avis du 5 août 2013, le Dr T.________ du SMR a indiqué qu’au vu du contexte marqué par le type de pathologie et les complications initiales rapportées, il pouvait être supposé qu’une fatigabilité accrue était responsable de la majoration de l’incapacité de travail à 60%. Se référant à un questionnaire médical du 4 février 2013 du Dr L.________, le Dr T.________ disait ne pas se distancer de l’appréciation du précédent rapport SMR du 23 octobre 2012 faute d’explications plus précises de la part du médecin traitant sur l’incapacité de travail à 60% précitée. Le 27 août 2013, l’assuré a transmis la copie de divers certificats médicaux établis par le Dr L.________. Il en ressort que celui-ci se trouvait toujours en incapacité de travail à 60% pour une durée indéterminée, avec une dispense de voyager. Dans un rapport du 29 août 2013, le Dr L.________ a communiqué à son confrère le Dr T.________ du SMR, les indications suivantes concernant l’évolution de l’état de santé de l’assuré : “[…] Malheureusement, la leucémie myéloïde chronique a évolué en crise blastique de type leucémie lymphoblastique aiguë le 28.12.2005, avec anomalies caryotypiques supplémentaires et infiltration hépatique prouvée histologiquement. Ainsi, le patient a été traité par des cures de chimiothérapie lourdes selon le protocole GRAAPH 2005, permettant d’obtenir une rémission hématologique et cytogénétique mais non moléculaire. Par la suite, Monsieur Z.________ a subi une transplantation allogénique de cellules souches hémotopoiétiques à partir du frère HLA identique le 02.03.2006 après un traitement de conditionnement qui comprenait du Cyclophosphamide à haute dose, 2 X 60 mg/kg et une irradiation corporelle totale de 6 X 2 Gy.</w:t>
      </w:r>
    </w:p>
    <w:p>
      <w:r>
        <w:t>- 7 - Dans les suites après la transplantation, il a développé une maladie greffe contre hôte sévère avec atteinte hépatique, cutanée, buccale, oculaire et musculaire. Depuis lors, le patient se plaint d’une sécheresse oculaire très importante le gênant beaucoup dans les activités quotidiennes : lecture, travail à l’ordinateur, gêne aux lumières intenses. Du point de vue de la maladie greffe contre hôte cutanée, il y a de multiples pigmentations, des rétractions musculaires avec une amyotrophie généralisée. Le status cutané est très régulièrement suivi et il a déjà été opéré de multiples carcinomes basocellulaire[s] voir[e] spinocellulaire[s] de l’oreille. Plus récemment, il a développé des troubles de la mémoire récente ainsi que des troubles de la concentration rendant l’activité professionnelle difficile. Il suit un traitement immunosuppresseur extrêmement lourd avec de multiples prophylaxies et se soumet à des séances de photophérèse d’une durée de 3 à 4 heures, 2 jours de suite, 1 fois par mois. Pour situer le problème, son traitement actuel est le suivant : • Prograf® (tacrolimus), cp à 0,5 mg 1 cp/jour. • Prednisone® 5 mg/jour alterné avec 2,5 mg/jour • Stabicilline® (phénoxyméthylpénicilline) 1 MUI, 1 cp/j. • Valtrex® (valaciclovir) 500 mg 1 cp/jour. • Bactrim Forte® (co-trimoxazole) 1 cp 3 x/semaine. • Noxafil® (posaconazole), cp à 200mg 3x1 cp/j. • Calcimagon D3® (calcIum + vitamine D) 1 cp/j. • Vidé D3 10 gouttes par jour. • STOP Aredia® (pamidronate) Dès octobre 2010. • Nexium® (ésoméprazole) 20 mg 1 cp/jour. • Mg5 longoral® (magnésium) 1 cp/j. • Ursofalk® (acide ursodésoxycholique) cp à 250mg, 1 cp 3x/j. • Privigen® 10g iv environ toutes les 6 semaines. • ExciplaI® lipolotion • Temesta® (lorazépam) 1 mg en réserve. • Oculac® gttes • Hylocomd® • Daylong ®25 • Elmex® gelée • Photophérèse 1x/mois (12 et 13.09.2013) Ce patient a été extrêmement courageux, s’est battu pour reprendre une activité professionnelle après son hémopathie maligne et la transplantation, malgré les complications de maladie greffe contre hôte chronique sévère. Dans ce contexte, il ne me semble pas envisageable d’augmenter sa capacité de travail au-delà de 40%.” Au terme d’un nouvel avis du 9 janvier 2014, le Dr T.________ a considéré que compte tenu du contexte marqué par le type de pathologie et les complications initiales rapportées, il devait être admis qu’une</w:t>
      </w:r>
    </w:p>
    <w:p>
      <w:r>
        <w:t>- 8 - fatigabilité accrue soit responsable de la majoration de l’incapacité de travail à 60% dès le 29 (recte : 25) novembre 2012 pour une durée indéterminée. Indiquant au surplus maintenir la date du 1er septembre 2011 telle que suggérée dans le rapport SMR du 23 octobre 2012 du Dr F.________ comme date de début de l’incapacité de travail, l’assuré ayant très vraisemblablement travaillé au-dessus de ses forces, le Dr T.________ retenait une incapacité de travail de 50% en toute activité du 1er septembre 2011 au 28 novembre 2012 puis de 60 % pour l’activité habituelle dès le 29 novembre 2012 étant encore précisé que selon ce médecin, l’activité habituelle de banquier était adaptée aux limitations fonctionnelles énoncées dans le rapport SMR du 23 octobre 2012. Par projet de décision du 15 janvier 2014, l’OAI a fait part à l’assuré de son intention de lui reconnaître le droit à la demi-rente à partir du 1er décembre 2012, fondée sur un degré d’invalidité de 50% puis dès le 1er mars 2013 (soit trois mois après l’aggravation de l’état de santé), le droit à trois-quarts de rente, basée sur un degré d’invalidité de 60%. Les constatations de l’Office AI étaient les suivantes : “Résultat de nos constatations : Vous exercez l’activité de conseiller aux institutions. Pour raisons de santé, vous présentez une incapacité de travail sans interruption notable depuis le 1er septembre 2011. C’est à partir de cette date qu’est fixé le début du délai d’attente d’une année prévu par l’art. 28 LAI [loi fédérale sur l’assurance-invalidité du 19 juin 1959, RS 831.20] précité. A l’échéance du délai en question, soit au 1er septembre 2012, et après consultation des éléments médicaux de votre dossier par le Service Médical Régional, nous constatons que votre incapacité de travail est de 50%, dans toute activité. A cette date, votre degré d’invalidité est donc de 50%. Toutefois, le droit à la rente prend naissance au plus tôt à l’échéance d’une période de six mois à compter de la date à laquelle l’assuré a fait valoir son droit aux prestations (art. 29, al. 1, LAI). Dès lors, le droit est ouvert dès le 1er décembre 2012. Votre état de santé s’étant malheureusement dégradé, votre incapacité de travail est de 60% dès le 29 novembre 2012.”</w:t>
      </w:r>
    </w:p>
    <w:p>
      <w:r>
        <w:t>- 9 - Le 13 février 2014, l’assuré, assisté de son conseil en la personne de l’avocat Christian Bruchez, a fait part de ses observations sur le projet d’octroi de rente précité. Il relevait que ce n’était en réalité qu’à partir du 11 janvier 2012 qu’il avait été mis en arrêt de travail à 50% par son médecin oncologue de sorte que c’était cette dernière date (et non pas celle antérieure du 1er septembre 2011 retenue en l’occurrence par l’OAI) qui constituait en réalité le point de départ de son incapacité de travail ; il précisait à cet égard avoir travaillé à 100% jusqu’à cette date et avoir été en mesure d’exercer l’entier de ses responsabilités professionnelles. L’assuré notait en outre que c’était bien la date du 11 janvier 2012 qui avait été prise en compte tant par l’assurance perte de gain de l’employeur que par les institutions de prévoyance pour déterminer le point de départ du droit aux prestations. A le suivre, l’arrêt de travail ayant débuté le 11 janvier 2012, il convenait de lui reconnaître le droit à la demi-rente basée sur un degré d’invalidité à partir du 1er janvier 2013 et non pas dès le 1er décembre 2012. Il indiquait au surplus admettre la date du 1er mars 2013 retenue par l’Office AI pour le passage à trois-quarts de rente basé sur un degré d’invalidité de 60%, ainsi que l’évaluation du taux d’invalidité qui correspondait à la situation actuelle. Par décision du 8 mai 2014 adressée directement à Z.________, l’Office AI lui a reconnu le droit à la demi-rente à partir du 1er décembre 2012, fondée sur un degré d’invalidité de 50% puis le droit à trois-quarts de rente dès le 1er mars 2013 (soit trois mois après l’aggravation de l’état de santé), basée sur un degré d’invalidité de 60%, cela conformément au projet communiqué précédemment à l’assuré. B. Par acte du 10 juin 2014, Z.________, représenté par Me Christian Bruchez, a recouru devant la Cour des assurances sociales du Tribunal cantonal en concluant avec suite de frais et dépens à la réforme de la décision précitée en ce sens qu’il soit constaté d’une part, que son incapacité de travail à 50% a débuté le 11 janvier 2012 et qu’elle a passé à 60% dès le 25 septembre 2012 et que d’autre part, lui-même et ses enfants bénéficient d’une rente AI entière dès le 1er janvier 2014. Il allègue en premier lieu avoir travaillé à 100% et avec un plein rendement jusqu’à</w:t>
      </w:r>
    </w:p>
    <w:p>
      <w:r>
        <w:t>- 10 - la date de son arrêt de travail à 50% débuté le 11 janvier 2012, de telle sorte que l’OAI n’était pas fondé à retenir la date antérieure du 1er septembre 2011 en tant que point de départ de l’incapacité de travail, la décision querellée devant être modifiée sur ce premier point. Le recourant conteste d’autre part l’évaluation de son degré d’invalidité telle qu’effectuée par l’Office AI lequel a considéré que son taux d’invalidité correspondait à celui de son incapacité de travail; ce faisant, l’OAI n’aurait à tort pas évalué concrètement et en application du principe de la comparaison des revenus au sens de l’art. 16 LPGA, l’incidence de l’incapacité de travail (à 50% puis à 60%) du recourant sur ses revenus globaux pour la période postérieure au 1er janvier 2014. Il indique que ces derniers se composent non seulement d’une part fixe mais également d’une part d’intéressement variable très importante et qu’il n’était plus en état de poursuivre depuis 2014, en particulier en raison de l’interdiction de voyager qui lui est imposée par son médecin, l’exercice de sa profession antérieure qui lui permettait de réaliser des parts d’intéressement importantes, le seul poste compatible avec son état de santé ayant pu lui être proposé mais qu’il ne pouvait objectivement accepter étant un poste de subalterne. Le recourant estime dès lors que son revenu sans invalidité (pour 2014) doit être établi sur la moyenne de sa rémunération globale des cinq dernières années (de 2009 à 2013) qui se monte, selon lui, à 866'000 fr. environ, sans qu’il n’existe de motifs laissant présumer que sans atteinte à sa santé, l’intéressé n’aurait pas été en mesure de maintenir son niveau de rémunération antérieur. Concernant l’établissement de son revenu d’invalide (pour 2014), le recourant propose de retenir la rémunération pour le poste subalterne précité qui, exercé à un taux de 40%, prévoit un salaire annuel fixe de 64'560 fr. sans bonus garanti, cela dans l’éventualité où ledit emploi devait être considéré comme acceptable. Il observe à cet égard au vu de son état de santé ne pas être en mesure de prétendre à un poste de niveau plus élevé sur le marché du travail à celui précité, l’intimé ayant exclu en ce sens le droit à des mesures de reclassement professionnel. Après comparaison des revenus raisonnablement exigibles sans invalidité</w:t>
      </w:r>
    </w:p>
    <w:p>
      <w:r>
        <w:t>- 11 - (866'000 fr.) et avec invalidité (64'560 fr.) au sens de l’art. 16 LPGA, le recourant estime présenter un taux d’invalidité de 92% à compter de janvier 2014 qui lui ouvrirait le droit à la rente entière dès cette dernière date. En annexe, il a produit une liasse de pièces dont notamment des certificats de salaires relatifs aux années 2005 à 2013, des fiches d’assurance, un plan et une attestation de diverses institutions de prévoyance ainsi que des documents de son ancien employeur dont en particulier, une proposition relative au poste subalterne auquel il se réfère. Dans sa réponse du 5 août 2014, l’OAI a conclu au rejet du recours et au maintien de la décision attaquée. Par réplique du 10 octobre 2014, le recourant a persisté dans les conclusions prises à l’appui de son acte du 10 juin 2014. Produisant la copie de six factures de billets d’avions et de trains pour la période 1er septembre 2011 au 11 janvier 2012, Z.________ répète avoir travaillé à plein temps, à un rythme normal et sans la moindre absence ni défaillance jusqu’au 11 janvier 2012 en voyageant à travers le monde, effectuant des déplacements internes, devant participer à de nombreux rendez-vous, déjeuners et dîners d’affaires ainsi qu’ayant participé activement à un séminaire organisé par son ex-employeur en [...] du 29 septembre 2011 au dimanche 2 octobre 2011. Il lui apparaît ainsi objectivement impossible de retenir une incapacité de travail à 50% à partir du 1er septembre 2011 comme le fait l’OAI dans sa décision, cette dernière date ne correspondant d’ailleurs à aucun rapport médical au dossier de l’intimé. Le recourant a produit également une décision du 27 mai 2014 de son assureur perte de gain maladie (R.________ SA) à teneur de laquelle ce dernier lui a reconnu une incapacité à partir du 11 janvier 2012. Il observe que la référence faite par l’intimé à « cette période-là » dans sa décision plutôt qu’à une date précise et la mention dans l’avis de son SMR à la vraisemblance sont révélatrices de la subjectivité dont est empreinte la position de l’OAI. Le recourant souligne l’inexistence d’éléments médicaux objectifs justifiant de considérer que durant la période du 1er septembre 2011 au 11 janvier 2012, il aurait mis en danger sa santé par la poursuite de son activité professionnelle. S’agissant du taux d’invalidité de 60% retenu dans la</w:t>
      </w:r>
    </w:p>
    <w:p>
      <w:r>
        <w:t>- 12 - décision litigieuse, le recourant conteste qu’il se confonde avec celui de sa capacité de travail à 40% si bien qu’une comparaison des revenus au sens de l’art. 16 LPGA ne s’avérerait pas superflue en l’espèce ; décrivant en quoi consistait concrètement son activité habituelle auprès de Q.________, en produisant en particulier une note interne établie le 28 août 2012 par cet employeur, Z.________ soutient qu’étant donné la complexité des produits financiers en question, les montants en jeu et leur interdépendance avec les bourses et les marchés internationaux, son activité professionnelle impliquait une très grande disponibilité et flexibilité horaire vis-à-vis de ses clients, une grande disponibilité à voyager, une charge de travail conséquente (ses journées dépassant régulièrement 12 heures de travail), une disponibilité permanente pour ses collaborateurs. Partant au vu des exigences de sa profession habituelle et des responsabilités qu’elle impliquait, son exercice n’est, selon le recourant, pas possible à 40% au lieu de 100% de sorte qu’il est erroné pour l’OAI de retenir qu’il bénéficie d’une capacité de travail à 40% dans son activité habituelle. Il observe ainsi que ce n’est pas cette dernière activité très exigeante qu’il est en mesure d’exercer aujourd’hui à 40% mais plutôt une activité différente, à savoir une activité « ordinaire » de bureau ou de « back office ». Il ajoute à ce propos que la dispense de voyager figurant dans les certificats d’arrêt de travail établis par le Dr L.________ ont conduit Q.________ à ne pas lui attribuer de « dual contract » qui aurait été nécessaire à la poursuite, même à temps partiel, de son activité antérieure qui requérait des déplacements dans l’Union européenne ainsi que des contacts directs avec la clientèle. Cela atteste selon le recourant qu’il lui était objectivement impossible de poursuivre l’exercice de son activité habituelle à 40% avec de surcroît une dispense de voyager. C’est d’ailleurs en raison de cette situation qu’il s’est vu proposer un autre poste à 40% de niveau et rémunération très inférieurs au sein de la banque ce qui l’a conduit, d’un commun accord avec Q.________, à régler la fin de ses rapports de travail par convention. Cela étant, le recourant maintient qu’il se justifiait pleinement de procéder à une comparaison des revenus afin de déterminer son taux d’invalidité. Il a requis, à titre de mesures d’instruction, sa déposition en qualité de partie</w:t>
      </w:r>
    </w:p>
    <w:p>
      <w:r>
        <w:t>- 13 - à la procédure ainsi que l’audition en qualité de témoin de son ex-bras droit J.________. Dans sa duplique du 4 novembre 2014, l’OAI a modifié ses précédentes conclusions dans le sens de l’admission du recours, la décision attaquée du 8 mai 2014 étant annulée et la cause renvoyée pour instruction complémentaire du cas. En annexe, l’intimé a produit un avis médical du 28 octobre 2014 des Drs H.________, spécialiste en médecine du travail et expert SIM, et M.________ du SMR, à la teneur suivante : “Date de la demande : 01.06.12. Recours. Rappel: 1/dossier connu depuis 2012; cf. Rapport Médical SMR du Dr F.________, le 23. 10.12, CT Activité Habituelle et Adapté[e] 50% dès sept 11 pour une LMC (leucémie myéloïde chronique) chez ce banquier de 45 ans (gestionnaire de produit dérivés) souffrant de complications d’un syndrome myéloprolifératif avec traitement très lourd. Une révision était prévue à 1 année. 2/ Par la suite, une consultation ultérieure du dossier à la demande de l’Office, débouche sur l’avis SMR Dr T.________, le 05.08.13 et le 09.01.14: le type de pathologie et les complications initiales faisai[en]t admettre une majoration de l’IT [incapacité de travail] à 60%, dès le 29.11.12 pour une durée indéterminée selon les certificats médicaux et le RM [rapport médical] du 29.08.13 du Dr L.________ médecin oncologue. Par ailleurs, comme le RM SMR du 23.10.12 (Dr F.________) suggérait de retenir le 01.09.11 comme date de début de l’IT en s’appuyant sur le fait que l’assuré avait très vraisemblablement travaillé au-dessus de ses forces; le Dr T.________ partageait également cette appréciation médicale. Synthèse: IT de 50% pour toute activité dès le 01.09.11, puis de 60% depuis le 29.11.12 à ce jour. Une révision était à prévoir dans 5 ans. 3/ le projet de décision du 15.01.14 (avec octroi de rente dès le 01.09.11, Inv. : 50%) entraîne un courrier de l’avocat de l’assuré, le 13.02.14, affirmant que celui-ci n’a été mis en arrêt de travail que le 11.01.12 à 50%, et que jusqu’à cette date l’assuré avait travaillé à 100% en exerçant l’entier de ses responsabilités. Une décision de l’Office en date du 08.05.14 faisait suite et entraîne un recours au TCA [Tribunal cantonal] le 10.06.14. L’Office demande alors des précisions quant aux allégations émises par le SMR lors de l’instruction du dossier. Vous demandez de dire: 1/ sur quelle base retenir une IT durable au 01.09.11 au motif que l’intéressé aurait travaillé vraisemblablement au-dessus de ses forces et comment cette date a pu être retenue/déduite, dans la mesure où les rapports cités pour justifier une telle approche ne mentionnent pas une telle information ou une telle période (GED n°</w:t>
      </w:r>
    </w:p>
    <w:p>
      <w:r>
        <w:rPr>
          <w:b/>
        </w:rPr>
        <w:t>E. 6</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w:t>
      </w:r>
    </w:p>
    <w:p>
      <w:r>
        <w:t>- 22 -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w:t>
      </w:r>
    </w:p>
    <w:p>
      <w:r>
        <w:t>- 23 - judiciaire s’impose lorsque les données recueillies par l’administration en cours d’instruction ne revêtent pas une valeur probante suffisante sur des points décisifs (ATF 137 V 210 consid. 4.4.1.4 et 4.4.1.5). b) En l’espèce, comme il l’admet lui-même, l’OAI était tenu de fixer le début de l’incapacité de travail du recourant au 11 janvier 2012 et de reconnaître que si depuis lors la capacité de travail résiduelle de celui- ci était nulle dans son activité professionnelle antérieure comme directeur de banque, elle restait toutefois de 50% puis de 40% dès le 29 (recte : 25) novembre 2012 dans une activité adaptée, telle celle de bureau ordinaire proposée en son temps. En considérant faussement que la capacité de travail résiduelle l’était dans l’activité habituelle, la décision attaquée ne détermine pas les revenus sans et avec invalidité et par conséquent ne comporte aucune comparaison entre le revenu que l’assuré aurait pu obtenir s’il n’était pas invalide et celui qu’il pourrait obtenir en exerçant l’activité qui peut raisonnablement être exigée de lui après les traitements et les mesures de réadaptation, sur un marché du travail équilibré au sens de l’art. 16 LPGA (méthode de la comparaison des revenus). Au vu des circonstances, l’instruction menée par l’intimé sur le plan économique est lacunaire et ne permet pas de trancher le litige à satisfaction de droit. L’ensemble des données chiffrées alléguées par le recourant en cours de procédure reposent pour la plupart sur des pièces produites par ses propres soins. Contrairement à ce qu’il soutient, ces documents ne permettent toutefois pas de statuer en l’état sur son droit éventuel à une rente entière depuis le 1er janvier 2014. Ces nouveaux éléments requièrent en premier lieu un examen minutieux et fouillé notamment quant à leur exactitude ainsi qu’à leur pertinence et leur applicabilité pour la comparaison des revenus à intervenir. Il est ici le lieu de rappeler que selon le principe inquisitoire, les faits pertinents de la cause doivent être constatés d’office par l’assureur, qui prend les mesures d’instruction nécessaires et recueille les renseignements dont il a besoin (cf. art. 43 al. 1 LPGA). Or, tel n’a manifestement pas été le cas en l’occurrence, l’OAI admettant lui-même que la décision entreprise repose</w:t>
      </w:r>
    </w:p>
    <w:p>
      <w:r>
        <w:t>- 24 - sur une instruction lacunaire de sa part. Cela étant, il se justifie d’annuler la décision du 8 mai 2014 et de renvoyer son dossier à l’intimé pour complément d'instruction sur les arguments développés en procédure judiciaire par le recourant. Il appartiendra ainsi à l'OAI de faire établir par ses services, le revenu hypothétique sans invalidité en fonction notamment de l’activité exercée antérieurement par l’assuré conformément à l’art. 25 al. 1 RAI et celui hypothétique avec invalidité puis déterminer le préjudice économique qui en résulte afin d’établir le taux d’invalidité du recourant et de rendre une nouvelle décision. Le recourant pourra ensuite se déterminer sur ce nouvel examen. Compte tenu de l’issue du litige, il ne se justifie pas de donner suite aux mesures d’instruction complémentaire requises par le recourant au terme de sa réplique.</w:t>
      </w:r>
    </w:p>
    <w:p>
      <w:r>
        <w:rPr>
          <w:b/>
        </w:rPr>
        <w:t>E. 7</w:t>
      </w:r>
    </w:p>
    <w:p>
      <w:r>
        <w:t>Le recours doit dès lors être partiellement admis et la décision attaquée annulée, la cause étant renvoyée à l’OAI pour complément d’instruction sur le plan économique, puis nouvelle décision. Il reste à statuer sur les frais et dépens (art. 91 LPA-VD, applicable par renvoi de l’art. 99 LPA-VD). a)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w:t>
      </w:r>
    </w:p>
    <w:p>
      <w:r>
        <w:t>- 25 - b) Obtenant partiellement gain de cause, le recourant a droit à des dépens réduits, arrêtés à 2'000 fr. TVA comprise, à la charge de l’intimé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