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ZD14.022921 vom 14. März 2016</w:t>
      </w:r>
    </w:p>
    <w:p>
      <w:r>
        <w:t>VD Tribunal cantonal, 2016-03-14, FR</w:t>
      </w:r>
    </w:p>
    <w:p>
      <w:r>
        <w:rPr>
          <w:b/>
        </w:rPr>
        <w:t xml:space="preserve">Quelle: </w:t>
      </w:r>
      <w:r>
        <w:t>https://mcp.opencaselaw.ch/entscheid/vd_gerichte_ZD14.022921</w:t>
      </w:r>
    </w:p>
    <w:p>
      <w:r>
        <w:t>FR: VD_GERICHTE ZD14.022921 du 14 mars 2016</w:t>
      </w:r>
    </w:p>
    <w:p>
      <w:r>
        <w:t>IT: VD_GERICHTE ZD14.022921 del 14 marzo 2016</w:t>
      </w:r>
    </w:p>
    <w:p>
      <w:pPr>
        <w:pStyle w:val="Heading2"/>
      </w:pPr>
      <w:r>
        <w:t>Erwägungen</w:t>
      </w:r>
    </w:p>
    <w:p>
      <w:r>
        <w:rPr>
          <w:b/>
        </w:rPr>
        <w:t>E. 7</w:t>
      </w:r>
    </w:p>
    <w:p>
      <w:r>
        <w:t>Le dossier étant complet, permettant ainsi à la Cour de céans de statuer en pleine connaissance de cause, il n'y a pas lieu de donner suite aux mesures d’instruction requises par le recourant (stage COPAI, expertise judiciaire, comparution personnelle, audition de Y.________). En effet, de telles mesures d'instruction ne seraient pas de nature à modifier les considérations qui précèdent (appréciation anticipée des preuves; ATF 122 II 464 consid. 4a, TF 8C_764/2009 du 12 octobre 2009 consid. 3.2, TF 9C_440/2008 du 5 août 2008), puisque les faits pertinents ont pu être constatés à satisfaction de droit.</w:t>
      </w:r>
    </w:p>
    <w:p>
      <w:r>
        <w:t>- 23 -</w:t>
      </w:r>
    </w:p>
    <w:p>
      <w:r>
        <w:rPr>
          <w:b/>
        </w:rPr>
        <w:t>E. 8</w:t>
      </w:r>
    </w:p>
    <w:p>
      <w:r>
        <w:t>a) En conclusion, le recours, mal fondé, doit être rejeté dans la mesure où il est recevable et la décision attaquée confirmée, par substitution de motifs. b) La procédure est onéreuse ; en principe, la partie dont les conclusions sont rejetées supporte les frais de procédure (cf. art. 69 al. 1bis LAI et 49 al. 1 LPA-VD). Cependant, lorsqu'une partie a été mise au bénéfice de l'assistance judiciaire, les frais judiciaires, ainsi qu'une équitable indemnité au conseil juridique désigné d'office pour la procédure, sont supportés par le canton (cf.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(cf. art. 123 CPC, applicable par renvoi de l'art. 18 al. 5 LPA-VD). Il incombe au Service juridique et législatif de fixer les modalités de ce remboursement (cf. art. 5 RAJ). En l'espèce, compte tenu de l'ampleur de la procédure, les frais de justice doivent être fixés à 400 fr. et devraient être mis à la charge du recourant, qui succombe (cf. art. 69 al. 1bis LAI; art. 49 al. 1 LPA-VD). Toutefois, dès lors que ce dernier est au bénéfice de l'assistance judiciaire, ces frais sont laissés provisoirement à la charge de l'Etat. Il n'y a au demeurant pas lieu d'allouer de dépens, le recourant n'obtenant pas gain de cause (cf. art. 55 al. 1 LPA-VD ; cf. art. 61 let. g LPGA). Le recourant bénéficie en outre, au titre de l'assistance judiciaire, de la commission d'office d'un avocat en la personne de Me Florence Bourqui (cf. art. 118 al. 1 let. c CPC, applicable par renvoi de l'art. 18 al. 5 LPA-VD). Invitée à produire sa liste des opérations (cf. art. 3 al. 1 RAJ), cette dernière s’en est remise à la juridiction de céans pour la fixation de son indemnité dans la présente affaire (cf. télécopie du 21 juillet 2015). Dès lors, vu l’étendue des opérations nécessaires à la conduite du procès (cf. art. 2 al. 1 et art. 3 al. 2 RAJ), il y a lieu d’arrêter</w:t>
      </w:r>
    </w:p>
    <w:p>
      <w:r>
        <w:t>- 24 - équitablement le défraiement à 1’555 fr. 20, TVA comprise (soit 1’440 fr. de prestations d’avocat [8 heures x 180 fr.] + 115 fr. 20 de TVA), auquel il convient d’ajouter 108 fr. pour les débours, TVA incluse (cf. art. 3 al. 3 RAJ). L’indemnité d’office de Me Bourqui s’élève donc à 1'663 fr. 20. Cette rémunération est provisoirement supportée par le canton, la recourante étant rendue attentive au fait qu'elle est tenue d'en rembourser le montant dès qu’elle sera en mesure de le faire (cf. art. 123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