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ZD14.018023 vom 14. Dezember 2016</w:t>
      </w:r>
    </w:p>
    <w:p>
      <w:r>
        <w:t>VD Tribunal cantonal, 2016-12-14, FR</w:t>
      </w:r>
    </w:p>
    <w:p>
      <w:r>
        <w:rPr>
          <w:b/>
        </w:rPr>
        <w:t xml:space="preserve">Quelle: </w:t>
      </w:r>
      <w:r>
        <w:t>https://mcp.opencaselaw.ch/entscheid/vd_gerichte_ZD14.018023</w:t>
      </w:r>
    </w:p>
    <w:p>
      <w:r>
        <w:t>FR: VD_GERICHTE ZD14.018023 du 14 décembre 2016</w:t>
      </w:r>
    </w:p>
    <w:p>
      <w:r>
        <w:t>IT: VD_GERICHTE ZD14.018023 del 14 dicembre 2016</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w:t>
      </w:r>
    </w:p>
    <w:p>
      <w:r>
        <w:t>- 28 -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 quart de rente s'il est invalide à 40% au moins, à une demi-rente s'il est invalide à 50% au moins, aux trois- quarts d'une rente s'il est invalide à 60% au moins et à une rente entière s'il est invalide à 70% au moins (art. 28 al. 2 LAI).</w:t>
      </w:r>
    </w:p>
    <w:p>
      <w:r>
        <w:rPr>
          <w:b/>
        </w:rPr>
        <w:t>E. 5</w:t>
      </w:r>
    </w:p>
    <w:p>
      <w:r>
        <w:t>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- 29 -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rPr>
          <w:b/>
        </w:rPr>
        <w:t>E. 6</w:t>
      </w:r>
    </w:p>
    <w:p>
      <w:r>
        <w:t>a) Le recourant conteste la "nette" amélioration de son état de santé et le taux de 100% s'agissant de son activité auprès de C.________ SA, soutenant que depuis son engagement en mai 2010 il y travaillait certes à plein temps mais avec un rendement réduit de 80%. Il réfute également toute violation de son devoir d'informer l'OAI en lien avec la reprise de cette activité. b) Dans le cas présent, l’évaluation de l’état de santé du recourant doit s’apprécier avec comme point de comparaison la décision de l’OAI du 28 septembre 2009, qui confirmait le droit de l'assuré à un quart de rente, précisant qu’il présentait un degré d’invalidité de 41%. Il</w:t>
      </w:r>
    </w:p>
    <w:p>
      <w:r>
        <w:t>- 30 - s’agit en effet de la dernière décision reposant sur un examen matériel du droit à la rente avec une constatation des faits pertinents ainsi qu’une appréciation des preuves. Les atteintes à la santé alléguées depuis lors à savoir d'une part, une nouvelle hernie discale opérée le 12 septembre 2013 avec pour incidence un port de charges limité à 10 kilos et, d'autre part, une affection auditive depuis début décembre 2012 avec un handicap de plus de 70% à ce niveau, ne contredisent pas l'amélioration retenue par l'OAI dans la décision querellée. La nouvelle hernie discale telle que traitée chirurgicalement ne peut être tenue pour invalidante. Posant le diagnostic de lombosciatalgies gauches avec status post cure de hernie discale L4-L5 le 12 septembre 2013, la Dresse P.________ relate en effet une nette amélioration des douleurs du membre inférieur gauche avec disparition des sciatalgies lors de sa consultation du 1er octobre 2013 uniquement avec la persistance de quelques douleurs lombaires (cf. rapport du 22 novembre 2013 de la Dresse P.________, Rép. 11). Cela est corroboré par le Dr D.________ du DAL du CHUV qui, lors de son contrôle le 16 juillet 2013, a posé le diagnostic de lombosciatique algoparesthésiante non déficitaire L5 gauche sur hernie discale L4-L5 sans attester de limitation fonctionnelle ni d'incapacité de travail de ce chef (cf. rapport du 23 juillet 2013 du Dr D.________). On observe par ailleurs que la restriction du port de charges fixée à 10 kilos maximum n'est pas nouvelle puisqu'elle ressort déjà de l'examen rhumatologique SMR effectué en novembre 2001 par le Dr M.________. Quant à l'affection auditive, on voit mal que le handicap allégué à plus de 70% soit fondé dès lors que l'intéressé est appareillé pour ce trouble. Aucune pièce médicale ne vient d'ailleurs étayer les seules affirmations du recourant, qui ne convainquent pas. Compte tenu des réponses ressortant du questionnaire de révision d'octobre 2013, document faisant part d'une amélioration, avec des jambes et hanches qui n'étaient plus bloquées, et en l'absence d'éléments médicaux contradictoires, l'OAI était par conséquent fondé à retenir une amélioration de l'état de santé somatique du recourant propre à emporter une capacité de travail résiduelle théorique de 100%.</w:t>
      </w:r>
    </w:p>
    <w:p>
      <w:r>
        <w:t>- 31 - Il reste à ce stade à éprouver l'évaluation du préjudice économique du recourant effectuée par l'intimé.</w:t>
      </w:r>
    </w:p>
    <w:p>
      <w:r>
        <w:rPr>
          <w:b/>
        </w:rPr>
        <w:t>E. 7</w:t>
      </w:r>
    </w:p>
    <w:p>
      <w:r>
        <w:t>a) Selon l'art. 16 LPGA, applicable par renvoi de l’art. 28a al.1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b) aa) A titre liminaire, il convient d'observer que le recourant ne soulève aucun grief sur le revenu sans invalidité (73'025 fr.). En l'absence de toute contestation, il n'y a pas lieu de revenir sur ce point.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w:t>
      </w:r>
    </w:p>
    <w:p>
      <w:r>
        <w:t>- 32 - gain obtenu correspond au travail effectivement fourni et ne contient pas d'éléments de salaire social, c'est le revenu effectivement réalisé qui doit être pris en compte pour fixer le revenu d'invalide. Le revenu avec invalidité a été fixé en l'occurrence à 53'300 fr. par l'OAI, se fondant sur le rapport de l'employeur complété le 7 novembre 2013 s'agissant d'un taux d'activité à 100% depuis l'engagement du recourant en mai 2010. Selon l'intimé, il ressort clairement de ce rapport que le salaire versé correspondait au rendement du recourant. Si tel est effectivement le cas à lecture du formulaire rempli par l'employeur, cette donnée est toutefois contredite par les allégations du recourant, lesquelles ont été confirmées par les témoignages recueillis lors de l'audience d'instruction du 20 septembre 2016. Il résulte en effet des déclarations concordantes et convaincantes des témoins auditionnés que, dès le début de son emploi d'ouvrier de fabrication à la gestion du stock chez C.________ SA, les problèmes de santé du recourant se sont rapidement révélés sur le lieu de travail au regard des efforts fournis par celui-ci pour surmonter son handicap. Il avait ainsi besoin de l'aide de ses collègues pour certaines manipulations, singulièrement le port de fûts à déplacer, aide fluctuant selon son état du jour. Ayant connaissance de ses problèmes de santé avant de l'engager, le directeur comme les collègues du recourant ont constaté que, "bon travailleur", il effectuait néanmoins ses tâches avec les difficultés liées à son handicap. Son rendement était ainsi à l'évidence inférieur à celui des autres employés, oscillant selon les intéressés entre 50% et 60%. On observera que ces valeurs correspondent au rendement retenu dans le bilan de stage d'observation COPAI du 23 février 2006, mais alors à un taux d'activité de 80% en économie libre. C'est pour ce motif, aux dires du directeur de C.________ SA, que le salaire de V.________ était et est resté inférieur à celui de ses collaborateurs, certes pas dans la proportion de 60%, mais de 80%. Ainsi, contrairement à ce qui ressort du rapport complété le 7 novembre 2013, le salaire de 4'100 fr. versé treize fois l'an, soit 53'300 fr. annuel, ne rétribuait pas une pleine capacité de travail, mais correspondait en réalité à un travail à 80%, ceci tout au long de l'engagement au service de C.________ SA. Le revenu ainsi réalisé ne correspondant pas au travail fourni au taux d'occupation tel qu'annoncé</w:t>
      </w:r>
    </w:p>
    <w:p>
      <w:r>
        <w:t>- 33 - en novembre 2013 par l'employeur, il comportait par conséquent une composante sociale et ne pouvait dès lors pas être assimilé au revenu d’invalide déterminant (cf. Circulaire sur l’invalidité et l’impotence dans l’assurance-invalidité [CIIAI], valable à partir du 1er janvier 2015, ch. 3053). A cet égard, il convient de retenir le 80% de 53'300 fr., soit le montant annuel de 42'640 fr., correspondant au rendement réel de l'assuré en tant qu'ouvrier de fabrication à la gestion du stock depuis mai 2010 chez C.________ SA. Ce dernier montant est ainsi retenu au titre du revenu raisonnablement exigible de la part du recourant compte tenu de son statut d'invalide. c) Après comparaison au sens de l'art. 16 LPGA avec le revenu de valide (73'025 fr), il en résulte une perte de gain de 30'385 fr. (73'025 fr. – 42'640 fr.) qui correspond à un degré d'invalidité de 41.60% ([30'385 fr. / 73'025 fr.] x 100), arrondi à 42% (cf. ATF 130 V 121). Supérieur au minimum de 40% (cf. art. 28 al. 2 LAI), le degré d’invalidité du recourant laissait en conséquence perdurer le droit à un quart de rente après le 31 août 2010, soit dès le 1er septembre 2010, contrairement à ce qu'a retenu l’OAI au terme de la procédure de révision dont est recours. Compte tenu de ce qui précède, la question d'une éventuelle violation par le recourant de son devoir d'informer l'intimé de la reprise d'une activité en mai 2010 chez C.________ SA peut demeurer indécise.</w:t>
      </w:r>
    </w:p>
    <w:p>
      <w:r>
        <w:rPr>
          <w:b/>
        </w:rPr>
        <w:t>E. 8</w:t>
      </w:r>
    </w:p>
    <w:p>
      <w:r>
        <w:t>Cela étant, le dossier est complet, permettant ainsi à la Cour de statuer en pleine connaissance de cause. Un complément d’instruction apparaît inutile et la requête d'expertise formulée en ce sens par le recourant dans son mémoire complémentaire du 30 juin 2014 se trouve dès lors être écartée.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w:t>
      </w:r>
    </w:p>
    <w:p>
      <w:r>
        <w:t>- 34 - 9C_303/2015 du 11 décembre 2015 consid. 3.2 ; 8C_285/2013 du 11 février 2014 consid. 5.2 et 9C_748/2013 du 10 février 2014 consid. 4.2.1).</w:t>
      </w:r>
    </w:p>
    <w:p>
      <w:r>
        <w:rPr>
          <w:b/>
        </w:rPr>
        <w:t>E. 9</w:t>
      </w:r>
    </w:p>
    <w:p>
      <w:r>
        <w:t>En définitive bien-fondé, le recours doit être admis et la décision attaquée réformée en ce sens que V.________ a droit à un quart de rente à partir du 1er septembre 2010.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5'000 fr. TVA incluse, compte tenu de l’importance et de la complexité de l'affaire. Vu que ce montant dépasse l’indemnité à laquelle pourrait prétendre le mandataire du recourant dans le cadre de l’assistance judiciaire, il est renoncé à fixer le montant de cette indemnité, laquelle ne peut comprendre les opérations postérieures à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