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ZD14.015659 vom 8. August 2016</w:t>
      </w:r>
    </w:p>
    <w:p>
      <w:r>
        <w:t>VD Tribunal cantonal, 2016-08-08, FR</w:t>
      </w:r>
    </w:p>
    <w:p>
      <w:r>
        <w:rPr>
          <w:b/>
        </w:rPr>
        <w:t xml:space="preserve">Quelle: </w:t>
      </w:r>
      <w:r>
        <w:t>https://mcp.opencaselaw.ch/entscheid/vd_gerichte_ZD14.015659</w:t>
      </w:r>
    </w:p>
    <w:p>
      <w:r>
        <w:t>FR: VD_GERICHTE ZD14.015659 du 8 août 2016</w:t>
      </w:r>
    </w:p>
    <w:p>
      <w:r>
        <w:t>IT: VD_GERICHTE ZD14.015659 del 8 agosto 2016</w:t>
      </w:r>
    </w:p>
    <w:p>
      <w:pPr>
        <w:pStyle w:val="Heading2"/>
      </w:pPr>
      <w:r>
        <w:t>Erwägungen</w:t>
      </w:r>
    </w:p>
    <w:p>
      <w:r>
        <w:rPr>
          <w:b/>
        </w:rPr>
        <w:t>E. 27</w:t>
      </w:r>
    </w:p>
    <w:p>
      <w:r>
        <w:t>avril 2009 (rapport du 30 avril 2009). Par la suite, le Dr U.________ (médecin traitant généralise) a attesté une incapacité de travail totale du</w:t>
      </w:r>
    </w:p>
    <w:p>
      <w:r>
        <w:rPr>
          <w:b/>
        </w:rPr>
        <w:t>E. 29</w:t>
      </w:r>
    </w:p>
    <w:p>
      <w:r>
        <w:t>al. 1 et 3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 l’activité qui peut être exigée de lui peut aussi relever d’une autre profession ou d’un autre domaine d’activité (art. 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134 V 64 consid. 4.2.1, 110 V 273 consid. 4b p. 276 ; TF 9C_659/2014 du 13 mars 2015 consid. 5.3.2). bb)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w:t>
      </w:r>
    </w:p>
    <w:p>
      <w:r>
        <w:t>- 11 - méthode « spécifique » d’évaluation de l’invalidité (art. 8 al. 3 LPGA, 28a al. 2 LAI,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p. 507ss, 125 V 146 consid. 2c p. 150, 117 V 194). 4. En l’espèce, le début de l’incapacité de travail durable, sans interruption notable, attestée par les médecins traitants de la recourante, remonte au 23 août 2011 (certificat médical du 24 août 2011 du Dr U.________). Le droit à la rente a donc pu prendre naissance, au plus tôt, le 1er août 2012. 5. L’intimé a considéré que sans invalidité, la recourante aurait poursuivi son activité professionnelle à un taux de 73% et consacré le reste de son temps (27%) à ses activités ménagères habituelles. Il a donc procédé à une évaluation mixte de l’invalidité. A juste titre, la recourante ne conteste pas les constatations de l’intimé sur ce point ni le choix de la méthode d’évaluation de l’invalidité. Il n’y a donc pas lieu d’y revenir plus en détail.</w:t>
      </w:r>
    </w:p>
    <w:p>
      <w:r>
        <w:t>- 12 - 6. L’intimé a fixé à 35'194 fr. 77 le revenu annuel hypothétique sans invalidité de la recourante, pour l’année 2012, pour une activité lucrative exercée à 73%. Il s’est fondé sur un rapport de l’employeur du 21 septembre 2011, qui n’a toutefois pas été actualisé depuis. La recourante soutient, à juste titre, que ce revenu doit être adapté à l’évolution de l’indice des salaires nominaux entre 2011 et 2012, soit de l’indice 101.6 à celui de 102.7 (Office fédéral de la statistique, Indice des salaires nominaux, femmes, 2011-2015, table T1.2.10, secteur «commerce» ; le tableau peut être consulté sur le site www.bfs.admin.ch). L’année 2012 est en effet pertinente pour la comparaison des revenus, compte tenu de la date de la naissance éventuelle du droit à la rente (consid. 4 supra ; cf. ATF 129 V 222 consid. 4.1, 128 V 174). Cela conduit à fixer le revenu hypothétique sans invalidité à 35'575 fr. 80. 7. a) L’intimé a considéré, en se fondant essentiellement sur les rapports des Drs J.________ et B.________, que la recourante pourrait encore travailler à 70% dans son ancienne activité professionnelle de vendeuse, avec toutefois un rendement diminué de 10%. Elle pourrait par ailleurs travailler à 100% dans une activité adaptée, sans diminution de rendement. Cela implique que la recourante ne soit pas tenue de travailler avec les bras au-dessus de l’horizontale, qu’elle ne soit pas exposée au froid et qu’elle ne travaille pas de nuit. La recourante conteste d’abord la valeur probante de l’expertise du Dr J.________ au motif qu’il est impossible de déterminer la mission confiée par Q.________ à ce médecin ni les documents médicaux qui lui ont été transmis, voire les liens du Dr J.________ avec l’assureur- maladie. Par ailleurs, toujours selon la recourante, Q.________ l’a sommée de se présenter au rendez-vous fixé par l’expert sans lui demander si elle acceptait de se soumettre à une telle mesure d’instruction. Elle n’a pu s’exprimer ni sur la clinique choisie, ni sur le médecin en charge de l’expertise, déterminé de manière unilatérale par l’assureur. Elle n’a pas eu l’occasion de lui adresser d’éventuelles questions. La recourante souligne encore que le Dr J.________ n’est pas inscrit à la Fédération des médecins suisses (FMH) et qu’il est rhumatologue, alors qu’elle souffre</w:t>
      </w:r>
    </w:p>
    <w:p>
      <w:r>
        <w:t>- 13 - d’atteintes orthopédiques de type arthrosique pour lesquelles elle est suivie par les Drs N.________, R.________ et K.________, ainsi que de troubles neurologiques pour lesquels elle est suivie par le Dr X.________. Enfin, la recourante soutient que les constatations du Dr J.________ sont insoutenables et qu’il est impensable de considérer qu’elle pouvait, dès le 26 avril 2012, reprendre son poste de vendeuse impliquant de manière quotidienne, le port de charges lourdes, une position statique debout et en marche prolongée, la réception de marchandises et l’entreposage de celle- ci sur les rayons. Elle avait en effet subi une arthroplastie totale de la hanche gauche le 8 mars 2012, avait ensuite été hospitalisée du 15 au 20 mars 2012 en vue de sa réadaptation à la marche et se déplaçait au moyen de cannes anglaises à sa sortie d’hôpital. Le 18 avril 2012 seulement, le Dr N.________ avait estimé qu’elle pouvait désormais se déplacer en décharge «selon ses possibilités», en respectant scrupuleusement les consignes anti-luxation et les conseils d’hygiène posturale. La recourante conteste également le rapport du Dr B.________, au motif que ce dernier a été influencé de manière déterminante par les constatations erronées du Dr J.________. b) aa) Aux termes de l’art. 41 al. 1, 1ère phrase, LPGA, l'assureur examine les demandes, prend d'office les mesures d'instruction nécessaires et recueille les renseignements dont il a besoin. Si l'assureur doit recourir aux services d'un expert indépendant pour élucider les faits, il donne connaissance du nom de celui-ci aux parties. Celles-ci peuvent récuser l'expert pour des raisons pertinentes et présenter des contre- propositions (art. 44 LPGA). Dans un ATF 137 V 210 (consid. 3.4.2, en particulier consid. 3.4.2.4, 3.4.2.6 et 3.4.2.7), le Tribunal fédéral a constaté que l’expertise ordonnée en procédure administrative revêt souvent une importance déterminante, non seulement pour la procédure de décision par l’assureur social concerné, mais également, en cas de recours, dans la procédure judiciaire subséquente. En effet, il n’existe pas de droit à une expertise judiciaire lorsque l’expertise réalisée au stade de la procédure</w:t>
      </w:r>
    </w:p>
    <w:p>
      <w:r>
        <w:t>- 14 - administrative est jugée suffisamment probante par le tribunal saisi. Le Tribunal fédéral a donc considéré qu’un renforcement des droits de participation de l’assuré à l’administration de l’expertise, au stade de la procédure administrative déjà, était nécessaire pour garantir une procédure équitable conforme aux exigences des art. 29 al. 1 et 2 Cst., et 6 CEDH. Selon cette nouvelle jurisprudence, il appartient désormais à l’assureur social concerné de chercher à se mettre d’accord, avec la personne assurée, sur le choix de l’expert et de lui permettre de poser des questions à l’expert avant la réalisation de l’expertise. En cas d’échec de la tentative de trouver un accord sur la personne de l’expert à désigner, l’assureur doit rendre une décision incidente contre laquelle la personne assurée peut recourir immédiatement. Elle peut alors soulever des motifs formels de récusation, mais également des motifs « matériels » de récusation, soit tous motifs pertinents au sens de l’art. 44 LPGA. Dans ce contexte, le tribunal saisi du recours contre la décision incidente admettra en principe que celle-ci comporte pour l’assuré un risque de préjudice irréparable, au sens de l’art. 46 al. 1 let. a PA (applicable par renvoi de l’art. 55 al. 1 LPGA), en d’autres termes que l’assuré dispose d’un intérêt digne de protection à l’annulation immédiate de la décision en question (sur le risque de préjudice irréparable au sens de l’art. 46 al. 1 let. a PA, cf. ATF 130 II 149 consid. 1 et les références ; ATAF B-7084/2010 du 6 décembre 2010 consid. 1.5.2). bb)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w:t>
      </w:r>
    </w:p>
    <w:p>
      <w:r>
        <w:t>- 15 - complets, qu’il prenne en considération les plaintes exprimées, qu’il ait été établi en pleine connaissance du dossier (anamnèse), que la description des interférences médicales soit claire et enfin que les conclusions soient bien motivées (cf. ATF 134 V 231 consid. 5.1 et 125 V 351 consid. 3a avec la référence citée ; cf. également TF 9C_236/2015 du 2 décembre 2015 consid. 4). c) aa) Jusqu’au dépôt de son mémoire de recours devant la Cour de céans, la recourante n’a soulevé aucune objection sur la procédure de désignation du Dr J.________ ni sur le fait qu’elle n’avait pas été invitée à formuler ses propres questions à l’intention de l’expert. Elle ne l’a notamment pas fait pendant la procédure de préavis devant l’intimé, alors même qu’elle était déjà représentée par un mandataire professionnel. Les griefs soulevés sont donc tardifs. Ils sont également mal fondés. Le risque est certes bien réel que les assureurs sociaux contournent les règles posées par la jurisprudence relative à l’art. 44 LPGA en laissant un assureur perte de gain privé mandater un expert, puis en se référant aux constatations de cet expert. Ce risque ne justifie toutefois pas de dénier toute valeur probante à l’expertise réalisée sur mandat d’un assureur privé, à tout le moins aussi longtemps qu’il n’y a pas d’indice concret d’une procédure tendant à contourner délibérément l’art. 44 LPGA. Le Tribunal fédéral a en effet jugé qu’en l’absence de tels indices – et la Cour de céans n’en dispose pas ni dans le dossier de la présente procédure, ni, de manière générale, dans les autres dossiers dont elle est saisie –, le fait qu’un expert avait déjà été mandaté par un assureur privé dans un dossier, en dehors de toute procédure selon l’art. 44 LPGA, et qu’il avait déjà pris position sur la capacité résiduelle de travail de la personne assurée ne justifiait pas de l’écarter d’un mandat d’expertise confié par l’Office de l’assurance-invalidité (TF 9C_689/2012 du 6 juin 2013, à la suite de l’arrêt de la Cour des assurances sociales AI 14/14-257/2012 du 11 juillet 2012). Il n’y a, pour le surplus, aucun indice au dossier de relations privilégiées entre le Dr J.________, qui a agi dans le cadre de son activité pour le centre d’expertises M.________, et Q.________. Le Dr J.________ a exposé relativement clairement le mandat qui lui avait été confié, en pages une à trois de l’expertise, ainsi que les documents médicaux mis à</w:t>
      </w:r>
    </w:p>
    <w:p>
      <w:r>
        <w:t>- 16 - sa disposition, en pages trois à neuf. Enfin, la spécialisation de l’expert en rhumatologie n’était pas moins adéquate que celle d’un orthopédiste ou d’un neurologue pour évaluer la capacité résiduelle de travail de la recourante ; une expertise pluridisciplinaire aurait été idéale, sans être toutefois nécessaire. bb) Sur la forme et le contenu, l’expertise réalisée par le Dr J.________ est convaincante, quand bien même son appréciation relative à la capacité de l’assurée de reprendre son activité professionnelle à 70%, avec un rendement diminué de 10%, dès le 26 avril 2012 déjà, soit un peu plus d’un mois après la pose d’une prothèse de hanche le 8 mars 2012, paraît sévère pour l’assurée. La date exacte à laquelle cette reprise du travail peut être exigée, à quelques semaines près, n’est quoi qu’il en soit pas déterminante en l’espèce. Pour le reste, on constate que le Dr J.________ a eu connaissance des principaux rapports médicaux au dossier, qu’il a établi une anamnèse relativement complète et qu’il a dûment pris en considération les plaintes de la personne assurée. Il a admis des limitations fonctionnelles en relation avec le conflit sous- acromial, d’une part (limitation des mouvements au-dessus du plan des épaules, avec pour conséquence la nécessité d’utiliser un escabeau pour les rangements en hauteur), entraînant notamment une diminution de rendement de 10%, ainsi qu’avec la fibromyalgie, d’autre part (nécessité d’éviter l’exposition au froid et le travail de nuit). Il est vrai que l’emploi exercé par la recourante jusqu’à la résiliation des rapports de travail par l’employeur, pour le 30 novembre 2011, impliquait le remplissage fréquent de rayons de produits laitiers ou surgelés, mais l’expert a pris cette circonstance en considération en précisant que l’assurée devrait éviter l’exposition prolongée au froid dans tout nouvel emploi. L’expert a également tenu compte d’autres diagnostics (coxarthrose bilatérale avec prothèse de hanche droite posée en 2008 et prothèse de hanche gauche posée le 8 mars 2012, syndromes canalaires multiples [canal carpien bilatéral opéré à droit, non encore traité à gauche, syndrome du nerf cubital aux deux coudes et syndrome du tunnel tarsien gauche probable], maladie de Dupuytren bilatérale des mains sans aucune rétraction digitale et digitarthrose distale mineure). Mais il a considéré que la patiente</w:t>
      </w:r>
    </w:p>
    <w:p>
      <w:r>
        <w:t>- 17 - présentait une majoration des plaintes par rapports aux atteintes objectivement constatées, qui n’entraînaient pas d’autre limitation fonctionnelle que celle mentionnées. Cette appréciation des limitations fonctionnelles réellement entraînées par les atteintes objectivables à la santé relativise les plaintes de l’assurée, qui décrit des limitations nettement plus importantes ; elle est toutefois conforme au mandat d’expertise et ne permet pas de mettre en cause les constatations de l’expert ni, a fortiori, de les qualifier d’insoutenables. Pour ces motifs également, il n’y a pas lieu de considérer que l’expertise établie par le Dr B.________ serait dépourvue de valeur probante parce que fondée en partie sur les constatations du Dr J.________. cc) La recourante soutient que les constatations du Dr J.________ sont en contradiction manifeste avec les rapports médicaux successifs établis par les Drs U.________, X.________, N.________, K.________ et G.________. Il convient donc de revenir sur les principaux d’entre eux. Dans un rapport du 19 avril 2012 relatif à une consultation du 18 avril 2012, le Dr N.________ a fait état d’une évolution parfaitement favorable ensuite de la mise en place d’une prothèse totale de la hanche gauche. Les principales plaintes de la recourante concernaient des douleurs du genou gauche, qui avait tendance à gonfler en fin de journée, sans lâchage ni blocage. Le Dr N.________ a toutefois observé, lors de son examen, un genou calme sans érythème ni tuméfaction ni chaleur, avec cependant une lame d’épanchement intra-articulaire. Le genou était parfaitement stable et les investigations radiographiques se sont avérées sans particularité. Le Dr N.________ a attesté une incapacité de travail totale jusqu’au prochain contrôle à trois mois post opératoire, en précisant qu’ « au vu de la bonne évolution, Mme Z.________ peut se passer de ses cannes et marcher en charge selon douleurs selon ses possibilités ». Dans un rapport du 5 juin 2012 à l’intimé, le Dr N.________ a indiqué avoir attesté, à la suite de son dernier examen du 18 avril 2012, une incapacité de travail totale jusqu’au prochain contrôle prévu à trois mois post opératoire ; en réponse à la question 1.7 qui lui était posée, il a exposé que l’assurée était en rééducation à la suite de son intervention</w:t>
      </w:r>
    </w:p>
    <w:p>
      <w:r>
        <w:t>- 18 - chirurgicale, mais que la reprise de son ancienne activité était exigible pour autant que celle-ci soit adaptée, à un taux de 50 à 100% en fonction de l’activité ; le Dr N.________ n’a pas pris position sur une éventuelle diminution de rendement. Il n’y a pas dans ces constatations de contradiction manifeste avec celles du Dr J.________, hormis une divergence d’appréciation quant au délai dans lequel une reprise du travail pouvait être exigée. Par comparaison, le Dr N.________ avait admis une telle reprise à 70% (taux d’activité habituel) trois mois après l’opération de pose d’une prothèse totale de hanche à droite, en 2008 (rapport de consultation du 30 juin 2008 à l’Hôpital de [...]). Dans ses rapports des 7 et 9 mai 2012, le Dr K.________ ne prend pas clairement position sur la capacité de travail résiduelle de l’assurée, en relation avec les tunnels carpiens gauche et droite pour lesquels il a été consulté. Dans le premier rapport, il expose en effet que la capacité résiduelle de travail dépend du résultat de l’opération de la hanche et du 2ème tunnel carpien, et indique que l’on ne peut pas se prononcer actuellement sur la date d’une reprise de l’activité professionnelle. Dans le second rapport, il précise que «les neuropathies compressives des deux mains ainsi que la polyarthrose Herberden influencent la capacité de travail de la patiente comme vendeuse mais ne sont pas le facteur limitant unique.» Là encore, on exagérerait la portée de ces constatations en y voyant une contradiction manifeste avec celles du Dr J.________. On constate surtout que le Dr K.________ s’abstient de décrire précisément les limitations découlant des atteintes qu’il a constatées, ainsi que de donner une appréciation et, cas échéant, une motivation plus précise de l’incapacité de travail qu’elles entraînent d’après lui ; son observation relative au fait que les neuropathies compressives des deux mains ne sont pas le facteur limitant unique ne permet pas de déterminer la nature des autres facteurs auxquels il se réfère. Par la suite, le Dr K.________ a encore établi un rapport à l’intention du Dr U.________, le 12 novembre 2013, dans lequel il confirme le diagnostic de polyneuropathie posé par le Dr X.________, excluant une neuropathie compressive locale. Il ne prend pas position sur la capacité résiduelle de travail de la recourante.</w:t>
      </w:r>
    </w:p>
    <w:p>
      <w:r>
        <w:t>- 19 - Le Dr X.________ a établi un premier rapport à l’intention du Dr U.________, le 31 août 2011, après avoir pratiqué un examen clinique et par électroneuromyogramme (ENMG). Selon le Dr X.________, les symptômes présentés étaient suggestifs d’un syndrome du tunnel carpien bilatéral assez symétrique, pour l’instant sans déficit neurologique hormis une hypoesthésie au niveau de la pulpe du pouce des deux côtés. L’examen par électroneuromyogramme avait confirmé ce diagnostic en montrant des signes de compression du nerf médian au niveau du canal carpien des deux côtés. Il s’agissait toutefois d’une atteinte modérée, sans signes de souffrance axonale aigus. Le Dr X.________ n’a pas pris position sur la capacité résiduelle de travail de l’assurée dans ce document, dans lequel on ne trouve toutefois aucun constat en opposition avec l’expertise réalisée par le Dr J.________. Par la suite, le Dr X.________ a réexaminé la recourante le 12 mai 2013 en raison de plaintes relatives à une sensation de vertige plus ou moins permanente, de type ébriété, surtout en station debout, de sciatalgies bilatérales avec une sensation de paresthésies plantaires plus ou moins permanentes, ainsi que de douleurs plantaires à la marche. Dans un rapport du 20 mai 2013, établi à la suite de cet examen, le Dr X.________ précise ce qui qui : « Objectivement, à l’examen clinique, on constate une discrète raideur lombaire […]. La marche me paraît normale, de même que la marche sur la pointe et les talons. En position couchée, il n’y a pas de syndrome radiculaire irritatif […]. En revanche, il existe des points douloureux à la palpation de la musculature fessière ainsi que du grand trochanter à la faveur d’une atteinte périarticulaire. […] Sur le plan moteur, il n’y a pas d’amyotrophie ni de parésie. Sur le plan sensitif, il n’y a pas d’hypoesthésie en chaussettes mais une hypopallesthésie bi- malléolaire à 2/8ème ddc alors que la sensibilité posturale est encore conservée. » Dans ce document également, on voit mal quelles constatations du Dr X.________ seraient en contradiction manifeste avec la capacité de travail reconnue par le Dr J.________.</w:t>
      </w:r>
    </w:p>
    <w:p>
      <w:r>
        <w:t>- 20 - Le 31 mai 2013, le Dr X.________ a réalisé un électroneuromyogramme des membres inférieurs en raison de plaintes relatives à des paresthésies plantaires prédominant au niveau des orteils, non douloureuses, présentes aussi bien au repos qu’à la marche, accompagnées également uniquement à la marche, de douleurs du talon jusqu’au niveau du gros orteil, des deux côtés. La symptomatologie semblait évoluer depuis déjà plusieurs mois parallèlement aux douleurs plus proximales au niveau des ceintures cervico-scapulaires et lombo- pelviennes de type musculo-tendineuse. L’assurée signalait également quelques crampes musculaires au niveau des mollets, mais pas d’instabilité. Le Dr X.________ a également réalisé un examen clinique, qu’il résume comme suit : « Objectivement à l’examen clinique, on retrouve essentiellement une hyporéflexie achilléenne bilatérale et une hypopallesthésie bi- malléolaire à 1-2/8ème ddc alors que la sensibilité posturale est conservée. Il n’y a pas de véritable hypoesthésie en chaussettes. L’épreuve de Romberg ne montre que quelques oscillations du tronc et une danse des tendons, mais très modérés alors que la marche sur la pointe et les talons se fait sans difficulté, si ce n’est que la marche sur les talons est douloureuse. La marche un pied devant l’autre est stable. » Se référant à l’électroneuromyogramme réalisé, le Dr X.________ a posé le diagnostic de polyneuropathie sensitive, axonale, longueur-dépendante, dont l’origine restait à déterminer. Il n’a pas pris position sur la capacité résiduelle de travail de la recourante, mais ses constatations cliniques ne sont pas en contradiction avec les constatations du Dr J.________ relatives à la capacité résiduelles de travail de l’assurée. Le 23 août 2013, le Dr U.________ a demandé au Dr X.________ de compléter ses examens précédents par un électroneuromyogramme des membres supérieurs, pour préciser l’atteinte à ce niveau. Il a notamment précisé qu’il s’agissait d’établir le lien entre les douleurs des membres supérieurs et inférieurs, d’une part, et la polyneuropathie. Il s’agissait également de préciser, notamment à l’intention de l’OAI, l’origine des douleurs, la gravité de l’atteinte et la capacité réelle de travail de l’assurée, en opposition aux expertises psychiatrique et rhumatologique dont une copie était transmise au Dr X.________. Le Dr</w:t>
      </w:r>
    </w:p>
    <w:p>
      <w:r>
        <w:t>- 21 - X.________ a revu l’assurée le 9 septembre 2013 et a établi un nouveau rapport le 13 septembre 2013. Résumant la situation, il a indiqué que depuis ses derniers examens, celle-ci restait inchangée en ce qui concernait les membres inférieurs, avec des paresthésies plantaires persistantes. Aux membres supérieurs, elle ne s’était guère améliorée non plus avec des douleurs et une limitation de la mobilisation des deux épaules, surtout en élévation et abduction, mais également en rotation interne et externe, des douleurs au niveau des bras et tout particulièrement au niveau des épicondyles latéraux, ainsi que des douleurs localisées au niveau du poignet et de la région hypothénarienne et thénarienne des deux côtés, plutôt en relation avec les activités. Les paresthésies étaient toujours présentes aussi bien de jour que de nuit, prédominant au niveau des trois premiers doigts des deux côtés et parfois décrites comme assez diffuses. L’assurée signalait également une faiblesse au niveau des mains. Sur la plan clinique, toutefois, le Dr X.________ a exposé avoir retrouvé « quelques troubles sensitifs plutôt dans le territoire du nerf médian des 2 côtés, mais sans déficit moteur notamment au niveau de la musculature thénarienne, alors qu’il exist[ait] probablement une discrète parésie au niveau des interosseux dorsaux et palmaire, particulièrement à gauche ». Sur le plan électroneuromyographique, à droite, le Dr X.________ ne détectait pratiquement plus aucun signe de syndrome du tunnel carpien résiduel, alors qu’à gauche, des signes persistaient encore en faveur d’un syndrome du tunnel carpien modéré, essentiellement purement myélinique. Il relevait encore la présence d’une neuropathie cubitale bilatérale localisée au niveau du coude, plus marquée à gauche, mais pour l’instant essentiellement myélinique. Il a proposé d’être prudent avant de proposer une prise en charge chirurgicale de cette atteinte, au vu de l’évolution pas très favorable à droite et des anomalies pour l’instant assez modérées à gauche. A la lecture de ce rapport, on constate que le Dr X.________ s’abstient de qualifier de graves les atteintes constatées et de prendre position sur une éventuelle incapacité de travail de la recourante, en dépit de la demande expresse du Dr U.________. Le 17 décembre 2013, le Dr F.________, pour le SMR, a considéré que la</w:t>
      </w:r>
    </w:p>
    <w:p>
      <w:r>
        <w:t>- 22 - polyneuropathie d’origine indéterminée n’entraînait pas de nouvelle limitation fonctionnelle par rapport à celles déjà constatées. Ce n’est finalement que le 2 juin 2014, soit après la décision litigieuse et le dépôt du recours, que le Dr X.________ a pris position sur la capacité résiduelle de travail de la recourante. Répondant à un questionnaire de l’avocate de la recourante, il a indiqué que l’assurée souffrait, notamment, d’une polyneuropathie axonale essentiellement sensitive, longueur-dépendante, d’origine indéterminée et d’un syndrome du tunnel carpien bilatéral opéré à droite à deux reprises en 2011 et 2012, avec un effet partiel. Les restrictions physiques étaient «plutôt en premier lieu en relation avec une pathologie extra-neurologique, à savoir des douleurs proximales des deux membres supérieurs liées à une périarthropathie de l’épaule». Pour ce qui était des pathologies neurologiques, «elles [pouvaient] effectivement avoir une influence sur la capacité de travail, de l’ordre de 50%». Dans l’activité de vendeuse, la capacité de travail était limitée à 50% sur le plan neurologique, «et ceci bien entendu sans tenir compte de la pathologie des épaules» ; le rendement était diminué de 50%. Dans une activité adaptée, la capacité résiduelle de travail était diminuée de 50%, sans diminution de rendement, «encore une fois sur le plan neurologique». Les limitations fonctionnelles étaient les suivantes : difficultés pour manipuler les objets et pour effectuer un travail de force avec les mains, limitations pour les activités uniquement debout en raison des douleurs des membres inférieurs et surtout d’une discrète instabilité, pas de position en position accroupie ou en genuflexion, sur le plan neurologique, incapacité totale d’effectuer les activités exercées principalement en marchant ou sur un terrain irrégulier, limitation partielle à 50% pour se pencher, limitation probable de 100% pour travailler avec les bras au-dessus de la tête, mais plutôt pour des raisons rhumatologiques (périarthropatie des épaules), limitation à 100% pour soulever ou porter des charges de plus de 1 à 2 kilos, limitation pour les travaux de nuit en raison de l’épilepsie, et limitation à 50% pour les activités nécessitant de monter les escaliers.</w:t>
      </w:r>
    </w:p>
    <w:p>
      <w:r>
        <w:t>- 23 - Ces constatations relatives à une incapacité de travail importante dans l’activité professionnelle habituelle et dans une activité adaptée ne sont quasiment pas motivées et sont en contradiction avec les descriptions des examens cliniques et électroneuromyographiques figurant dans les rapports précédents du Dr X.________, comme l’ont mis en évidence les Drs P.________ et H.________, médecins au SMR, dans un rapport du 9 septembre 2014. Ces derniers ont en particulier souligné que les limitations fonctionnelles relatives à la manipulation d’objets et au travail de force avec les mains s’accordaient mal avec le constat du Dr X.________, au niveau des membres supérieurs, de l’absence d’amyotrophie avec tout de même une certaine parésie au niveau des interosseux, toutefois difficile à quantifier en raison des nombreux lâchages. Sur ce dernier point, on observera que le Dr X.________ n’indique aucunement que ces lâchages seraient entraînés par une atteinte neurologique. Dans ce contexte, les Drs P.________ et H.________ ont encore souligné que la musculature thénarienne était selon le Dr X.________ de trophicité normale, sans parésie, et qu’il existait une hypotesthésie subjective au niveau de la pulpe et de l’index. Cliniquement, le Dr X.________ n’avait retrouvé que quelques troubles sensitifs dans le territoire du nerf médian, mais sans déficit moteur. Les médecins du SMR en ont conclu, de manière convaincante, que les troubles sensitifs et moteurs des mains étaient objectivement très limités. En ce qui concernait les membres inférieurs, les Drs P.________ et H.________ ont également mis en évidence des contradictions entre les rapports précédents du Dr X.________ et les limitations fonctionnelles qu’il atteste le 2 juin 2014, en particulier en ce qui concerne la limitation pour les activités en position debout, en raison d’une instabilité pour le moins discrète selon les constatations cliniques. Les Drs P.________ et H.________ proposent néanmoins d’admettre, avec le Dr X.________, une limitation pour les travaux nécessitant de travailler en position accroupie ou en génuflexion, pour les travaux effectués principalement en marchant, pour les travaux exercés sur un terrain irrégulier ou encore pour soulever ou porter des charges ainsi que monter des escaliers. Mais ils précisent que ces limitations ne valent que pour les activités impliquant de telles contraintes de manière prépondérante. Il n’y a pas lieu de s’écarter de ce constat.</w:t>
      </w:r>
    </w:p>
    <w:p>
      <w:r>
        <w:t>- 24 - Les autres rapports médiaux au dossier ne contiennent aucun élément nouveau, qui n’aurait pas déjà été pris en considération. En particulier, dans un rapport du 18 janvier 2016 la Dresse G.________ indique que l’assurée ne peut pas exercer d’activité contraignante pour les membres supérieurs, soulever une charge au-dessus de la tête ni manipuler même de petites pièces, en raison de causes « multiples » qui concernent « la ceinture scapulaire dont un conflit sous-acromial bilatéral, une arthrose digitale et une neuropathie périphérique ». A l’examen clinique, elle précise constater une maladie de Dupuytren des paumes stade 1, toutefois « sans réduction de la force de préhension ». Le reste de son examen clinique n’indique aucune limitation fonctionnelle plus importante que celles finalement admises par les médecins du SMR. d) Vu ce qui précède, il convient de constater que la recourante disposait, dès le mois de mai 2012, d’une pleine capacité de travail dans une activité adaptée à ses limitations fonctionnelles. Elle doit éviter les travaux impliquant des mouvements des bras au-dessus du plan des épaules ou une exposition au froid. Elle doit également éviter le travail de nuit et ne peut pas occuper un emploi nécessitant de travailler de manière prépondérante en position accroupie ou en génuflexion, en se penchant, en marchant, en montant des escaliers, en soulevant des charges, ou encore sur un terrain irrégulier. Un complément d’instruction n’est pas nécessaire compte tenu des pièces probantes figurant déjà au dossier. 8. a) Au vu de de la capacité résiduelle de travail qu’il a constaté, l’intimé a considéré que la recourante pourrait encore réaliser, dans une nouvelle activité professionnelle adaptée à son état de santé, un revenu annuel de 43'405 fr.80, en travaillant à 73% comme vendeuse, en 2012. Il s’est fondé sur les recommandations de la Société suisse des employés de commerce pour fixer ce revenu. Ce procédé ne peut pas être suivi. En effet, l’intimé n’établit pas que ces recommandations seraient généralement respectées, ce que le précédent revenu réalisé par la recourante dans l’activité de vendeuse tendrait plutôt à infirmer.</w:t>
      </w:r>
    </w:p>
    <w:p>
      <w:r>
        <w:t>- 25 - b) Lorsque l’assuré n’a pas repris une activité lucrative adaptée à son état de santé, la jurisprudence admet que l’on détermine le revenu d’invalide en se référant aux données salariales publiées par l’Office fédéral de la statistique dans l’Enquête suisse sur la structure des salaires (ci-après : ESS). Pour l’année 2012, en l’absence de formation professionnelle dans une telle activité, il convient de se référer au revenu mensuel brut (valeur centrale) pour une activité correspondant au niveau de compétence 1, dans l’économie privée, tous secteurs confondus (Tableau TA-1; cf. TF 9C_632/2015 consid. 2.5.7 ; voir également RAMA 2001 no U 439 p. 347).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En l’espèce, les limitations fonctionnelles constatées (consid. 7d ci-avant) et les autres circonstances personnelles entrant en considération, en particulier l’âge de la recourante, n’excluent pas toute possibilité de reprise d’une activité professionnelle sur un marché du travail réputé équilibré et permettent l’évaluation du revenu d’invalide au moyen des données salariales tirées de l’ESS. On tiendra compte de ses limitations et des circonstances personnelles en procédant à une déduction de 15% au maximum des données tirées des statistiques salariales en question. En se référant à un revenu brut standardisé de 4'112 fr. pour les femmes exerçant une activité de niveau 1, dans l’économie privée, tous secteurs confondus en 2012 (Tableau TA-1 de l’ESS 2012) et à une durée du travail hebdomadaire moyenne de 41.7 heures dans les entreprises en Suisse en 2012, tous secteurs confondus</w:t>
      </w:r>
    </w:p>
    <w:p>
      <w:r>
        <w:t>- 26 - (Office fédéral de la statistique, Durée du travail dans les entreprises selon les divisions économiques, années 2004-2012) et à un taux d’activité de 73%, on obtient un revenu annuel brut de 37'552 fr. (4'112 x 12 / 40 x 41.7 x 73%). Après une déduction de 15% au maximum, on doit constater un revenu d’invalide de 31'919 fr. 20. La comparaison avec le revenu hypothétique sans invalidité (35'575 fr. 80 ; cf. consid. 6 ci-avant) conduit à constater une diminution de la capacité de gain de 10,28 %, soit un taux d’invalidité de 7,5% pour la part de son temps consacré par l’assurée à l’exercice d’une activité lucrative (10,28 x 73%). 9. La recourante soutient que l’intimé a sous-évalué son empêchement à accomplir ses activités non lucratives habituelles, qui serait selon elle de 50% au moins, plutôt que de 15,7%. Toutefois, même en prenant en considération un empêchement de 50%, voire un empêchement plus élevé encore, le taux d’invalidité de la recourante resterait inférieur au seuil de 40% ouvrant droit à la rente litigieuse. Un empêchement de 50% correspondrait ainsi à un taux d’invalidité au ménage de 13,5% (50 x 27%) et à un taux d’invalidité global, toutes activités confondues, de 21% (13,5% + 7,5%). Dans ces conditions, il n’est pas nécessaire d’entrer plus en détail sur les griefs de la recourante relatifs à l’enquête ménagère réalisée le 15 octobre 2013. 10. Vu ce qui précède, les conclusions de la recourante sont mal fondées, ce qui entraîne le rejet du recours sans dépens (art. 61 let. g LPGA). Les frais de procédure sont mis à la charge de la recourante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