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ZD14.014999 vom 18. März 2015</w:t>
      </w:r>
    </w:p>
    <w:p>
      <w:r>
        <w:t>VD Tribunal cantonal, 2015-03-18, FR</w:t>
      </w:r>
    </w:p>
    <w:p>
      <w:r>
        <w:rPr>
          <w:b/>
        </w:rPr>
        <w:t xml:space="preserve">Quelle: </w:t>
      </w:r>
      <w:r>
        <w:t>https://mcp.opencaselaw.ch/entscheid/vd_gerichte_ZD14.014999</w:t>
      </w:r>
    </w:p>
    <w:p>
      <w:r>
        <w:t>FR: VD_GERICHTE ZD14.014999 du 18 mars 2015</w:t>
      </w:r>
    </w:p>
    <w:p>
      <w:r>
        <w:t>IT: VD_GERICHTE ZD14.014999 del 18 marzo 2015</w:t>
      </w:r>
    </w:p>
    <w:p>
      <w:pPr>
        <w:pStyle w:val="Heading2"/>
      </w:pPr>
      <w:r>
        <w:t>Erwägungen</w:t>
      </w:r>
    </w:p>
    <w:p>
      <w:r>
        <w:rPr>
          <w:b/>
        </w:rPr>
        <w:t>E. 4</w:t>
      </w:r>
    </w:p>
    <w:p>
      <w:r>
        <w:t>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114 V 310 consid. 3c, 105 V 156 consid. 1 ; TF I 562/06 du 25 juillet 2007 consid. 2.1 et TFA I 274/2005 du 21 mars 2006 consid. 1.2). Conformément au principe de libre appréciation des preuves, pleinement valable en procédure judiciaire de recours dans le domaine</w:t>
      </w:r>
    </w:p>
    <w:p>
      <w:r>
        <w:t>- 14 -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133 V 450 consid. 11.1.3, 125 V 351 consid. 3a, 122 V 157 consid. 1c).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121 V 362 consid. 1b).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122 V 34 consid. 2a et les références). Les conditions auxquelles un élargissement du procès au- delà de l'objet de la contestation est admissible sont les suivantes : la question (excédant l'objet de la contestation) doit être en état d'être jugée ; il doit exister un état de fait commun entre cette question et l'objet initial du litige ; l'administration doit s'être prononcée à son sujet dans un</w:t>
      </w:r>
    </w:p>
    <w:p>
      <w:r>
        <w:t>- 15 - acte de procédure au moins ; le rapport juridique externe à l'objet de la contestation ne doit pas avoir fait l'objet d'une décision passée en force de chose jugée ; les droits procéduraux des parties doivent être respectés.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 TF 9C_711/2011 du 26 avril 2012 consid. 3.1).</w:t>
      </w:r>
    </w:p>
    <w:p>
      <w:r>
        <w:rPr>
          <w:b/>
        </w:rPr>
        <w:t>E. 5</w:t>
      </w:r>
    </w:p>
    <w:p>
      <w:r>
        <w:t>a) Lors de la première demande de prestations déposée en octobre 2006, l’assuré a fait valoir une inaptitude au travail dans le contexte d’une fibromyalgie. L’examen clinique rhumato-psychiatrique réalisé au SMR au cours de l’instruction a révélé que l’assuré ne souffrait d’aucune pathologie invalidante sur le plan psychiatrique ; sur le plan somatique, il présentait un déconditionnement musculaire et global important lié à l’inactivité physique résultant des douleurs articulaires et musculaires de sa fibromyalgie. Ce déconditionnement, contre-indiquant tous travaux lourds, était réversible ; un reconditionnement ciblé était susceptible d’augmenter la tolérance à l’effort et donc la capacité de travail. Par décision du 17 mars 2008, l’OAI a nié le droit aux prestations en l’absence d’atteinte invalidante. b) Dans le cadre de sa nouvelle demande de prestations introduite le 17 novembre 2011, l’assuré a produit un rapport du Dr H.________ signalant des lombalgies basses et para-lombosacrées droites à caractère musculaire dysfonctionnel et probable discopathie lombosacrée, un état après effort de traction en soulèvement d’une charge lourde le 10 mai 2011, responsable du déclenchement des lombalgies aiguës, et une dysthymie consécutive aux lombalgies chroniques. L’assuré a produit également un rapport du Dr P.________, faisant état d’un épisode dépressif sévère en amélioration sous traitement et d’un retour à la vie active comme « l’antidépresseur » le plus efficace. Ces éléments suffisaient pour conclure de façon plausible à une modification significative de l’invalidité justifiant d’entrer en matière sur la nouvelle demande. Le SMR précisait</w:t>
      </w:r>
    </w:p>
    <w:p>
      <w:r>
        <w:t>- 16 - que si la fibromyalgie n’était pas signalée, il s’agissait désormais de lombalgies et d’épisode dépressif associé. La survenance d’une atteinte à la santé totalement différente de celle qui prévalait au moment du refus de la première demande de prestations et propre, par sa nature et sa gravité, à causer une incapacité de travail de 40% au moins en moyenne sur une année a pour effet de créer un nouveau cas d’assurance, compte tenu de l’absence de connexité matérielle avec la situation de fait prévalant au moment du refus de la première demande de prestations (ATF 126 V 369 consid. 3.1 et les références). La naissance du droit à la rente d’invalidité est de ce fait subordonnée aux conditions prévues aux art. 28 et 29 LAI (ATF 140 V 2 consid. 5.3). En l’occurrence, aux termes de la décision litigieuse, si les lombalgies sont reconnues comme incapacitantes à compter du 11 mai 2011, elles sont considérées comme n’entravant plus la reprise d’une activité professionnelle respectant les limitations fonctionnelles établies dès le mois de mai 2012. L’OAI se réfère à l’appréciation du Dr N.________ telle qu’exposée dans le rapport SMR du 23 octobre 2012 et inspirée des avis médicaux émis par les Drs J.________ et P.________. Dans son rapport du 22 février 2012, faisant suite à la consultation du 28 janvier 2012, le Dr J.________ pose pour diagnostics des lombalgies chroniques associées à des sciatalgies droites intermittentes dans le contexte d’un déconditionnement physique et des troubles statiques, une dysthymie et un probable trouble anxieux. Un traitement physiothérapeutique intensif est préconisé. La capacité de travail dans l’activité habituelle d’ouvrier polyvalent est considérée comme nulle depuis mai 2011 (excepté octobre et novembre 2011 à 50%) et la reprise d’une activité professionnelle, respectivement l’amélioration de la capacité de travail, ne peut être attendue avant trois à six mois. En aparté, on peut noter que le Dr N.________ énonce à tort qu’une capacité de travail d’au minimum 50% est reconnue par le Dr J.________ dans son rapport du 22 février 2012. Cela étant, dans un nouveau rapport du 13 août 2012, fondé essentiellement sur la dernière consultation du 4 mai précédent, le Dr J.________ énonce le même diagnostic de lombalgies</w:t>
      </w:r>
    </w:p>
    <w:p>
      <w:r>
        <w:t>- 17 - chroniques et retient celui de dysfonction de la charnière dorsolombaire. Il reconnaît au recourant une capacité de travail entière dans une activité adaptée (position assise limitée à 25-30 minutes, port de charges fréquent sol-taille à 10 kg, occasionnellement à 15 kg, port de charges taille-tête à 7,5 kg). En octobre 2012, le Dr P.________ énonce comme diagnostics un trouble douloureux chronique, un trouble dépressif récurrent et un status post-accident de travail le 10 mai 2011. Il n’y a pas de restriction psychique, les troubles psychologiques étant liés à l’absence d’une activité professionnelle adaptée, et la reprise d’une activité professionnelle à temps plein est possible. Pro memoria, en janvier 2012, le psychiatre traitant attestait une capacité de travail de 50% dans un poste adapté aux difficultés physiques du recourant, indiquant que le retour à la vie active était « l’antidépresseur » le plus efficace. Dès février 2013, le recourant a exercé l’activité de magasinier à un taux de 100%, activité qui selon toute vraisemblance était compatible aux limitations fonctionnelles reconnues ; l’interruption de cette activité huit mois plus tard n’apparaît pas en lien avec les lombalgies mais semble résulter de la nouvelle affection, eu égard aux dires de l’assuré (cf. consid. 5c infra). Il peut dès lors être admis que les lombalgies présentées par le recourant à la suite de l’événement du 10 mai 2011 ne contrevenaient plus, dès le 4 mai 2012, date de la dernière consultation auprès du Dr J.________, à l’exercice d’une activité exercée à plein temps, respectant les limitations fonctionnelles établies. S’agissant de l’atteinte psychique, elle n’était pas invalidante mais liée aux douleurs physiques ; elle ne contrevenait pas à la reprise d’une activité professionnelle à plein temps. Ainsi, à l’échéance du délai de carence d’une année (« survenance de l’invalidité »), le recourant présentait une pleine capacité de travail dans une activité adaptée. Aucun élément médical objectif rendant vraisemblable une péjoration de l’état de santé, respectivement le maintien de l’incapacité de travail, n’a par ailleurs été produit. La décision litigieuse ne prête dès lors pas flanc à la critique, étant constaté que le recourant ne soulève au demeurant aucun grief à son propos. En effet, à la lecture de son recours, l’assuré ne s’oppose pas</w:t>
      </w:r>
    </w:p>
    <w:p>
      <w:r>
        <w:t>- 18 - au contenu de cette décision mais rapporte la présence d’une nouvelle atteinte à la santé. c) Devant l’autorité de céans, le recourant allègue une incapacité de travail depuis le 1er octobre 2013 en raison d’une double tendinite des épaules, incapacité de travail attestée selon ses dires par le Dr B.________. Il produit le résultat d’une arthro-IRM de l’épaule droite réalisée le 1er mai 2014 en raison de douleurs de l’épaule droite à la mobilisation depuis six mois malgré la physiothérapie, et concluant à une tendinopathie avec déchirure intra-substancielle du tendon supra-épineux et déchirure du versant articulaire du tendon sous-scapulaire. Il produit également le protocole opératoire du 14 mai 2014 et la lettre de sortie du 22 mai 2014, rédigés par le Dr M.________, posant pour diagnostic une lésion du tendon supra-épineux de l’épaule droite et mentionnant l’apparition d’une douleur à la face antérieure de l’épaule en juillet 2013. Aucun élément médical attestant de l’atteinte à l’épaule droite n’a par ailleurs été produit en procédure d’audition devant l’OAI, en dépit du délai imparti – et prolongé – pour rendre vraisemblable l’existence d’une nouvelle atteinte à la santé susceptible d’entraîner une invalidité. Cela étant, dans l’hypothèse où l’atteinte à l’épaule droite, nouvelle affection, entraînait une incapacité de travail totale dès le 1er octobre 2013 – étant relevé qu’aucune incapacité de travail liée à cette affection n’est démontrée pour la période antérieure à l’opération du 14 mai 2014 –, elle ne pouvait avoir un impact qu’une fois écoulé le délai d’une année prévu par l’art. 28 al. 1 let. b LAI, soit en l’occurrence au plus tôt en octobre 2014. En effet, on rappellera que lors du dépôt d’une nouvelle demande à la suite d’un premier refus de prestations de l’assurance-invalidité, la naissance du droit à la rente d’invalidité reste subordonnée aux conditions prévues aux art. 28 et 29 LAI (ATF 140 V 2 consid. 5.3).</w:t>
      </w:r>
    </w:p>
    <w:p>
      <w:r>
        <w:t>- 19 - Partant, l’affection de l’épaule droite ne saurait être déterminante s’agissant du bien-fondé de la décision querellée de refus de rente du 17 mars 2014. La Cour ne saurait par ailleurs étendre l’objet de la contestation et se prononcer sur le droit à des prestations de l’assurance- invalidité pour la période postérieure au 17 mars 2014 (cf. consid. 4b supra). d) En définitive, il appert qu’au jour du prononcé de la décision litigieuse, le recourant ne remplissait pas les conditions requises pour se voir reconnaître le droit à une rente de l’assurance-invalidité. Le calcul du taux d’invalidité, vérifié d’office, n’est à cet égard pas critiquable. Les conclusions du recourant tendant à l’octroi de mesures d’ordre professionnelle doivent par ailleurs être rejetées. L’aide au placement accordée ensuite de ses lombalgies n’a pas été nécessaire, l’intéressé ayant trouvé rapidement un emploi. Quant aux limitations fonctionnelles qu’engendrerait l’atteinte à l’épaule droite, aucun élément rendant vraisemblable de telles limitations n’a été apportée antérieurement au prononcé de la décision litigieuse.</w:t>
      </w:r>
    </w:p>
    <w:p>
      <w:r>
        <w:rPr>
          <w:b/>
        </w:rPr>
        <w:t>E. 6</w:t>
      </w:r>
    </w:p>
    <w:p>
      <w:r>
        <w:t>a) Il résulte de ce qui précède que la décision attaquée n’est pas critiquable dans son résultat et doit être confirmée. Le recours doit par conséquent être rejeté. b) En dérogation à l’art. 61 let. a LPGA, la procédure de recours en matière de contestations portant sur l’octroi ou le refus de prestations de l’assurance-invalidité devant le tribunal des assurances est soumise à des frais de justice (art. 69 al. 1bis LAI). Ceux-ci, arrêtés à 400 fr., doivent être mis à la charge du recourant, qui succombe (art. 49 LPA- VD). Il n’y a pas lieu d’allouer de dépens au recourant, qui n’obtient pas gain de cause (art. 55 LPA-VD et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