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ZD14.008654 vom 12. September 2016</w:t>
      </w:r>
    </w:p>
    <w:p>
      <w:r>
        <w:t>VD Tribunal cantonal, 2016-09-12, FR</w:t>
      </w:r>
    </w:p>
    <w:p>
      <w:r>
        <w:rPr>
          <w:b/>
        </w:rPr>
        <w:t xml:space="preserve">Quelle: </w:t>
      </w:r>
      <w:r>
        <w:t>https://mcp.opencaselaw.ch/entscheid/vd_gerichte_ZD14.008654</w:t>
      </w:r>
    </w:p>
    <w:p>
      <w:r>
        <w:t>FR: VD_GERICHTE ZD14.008654 du 12 septembre 2016</w:t>
      </w:r>
    </w:p>
    <w:p>
      <w:r>
        <w:t>IT: VD_GERICHTE ZD14.008654 del 12 settembre 2016</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w:t>
      </w:r>
    </w:p>
    <w:p>
      <w:r>
        <w:t>- 21 - (cf. art. 2 al. 1 let. c LPA-VD). La Cour des assurances sociales du Tribunal cantonal est compétente pour statuer (cf. art. 93 let. a LPA-VD).</w:t>
      </w:r>
    </w:p>
    <w:p>
      <w:r>
        <w:rPr>
          <w:b/>
        </w:rPr>
        <w:t>E. 2</w:t>
      </w:r>
    </w:p>
    <w:p>
      <w:r>
        <w:t>Est litigieuse, dans le cas particulier, la question de la suppression de la rente AI du recourant avec effet rétroactif au 1er juillet 1999.</w:t>
      </w:r>
    </w:p>
    <w:p>
      <w:r>
        <w:rPr>
          <w:b/>
        </w:rPr>
        <w:t>E. 3</w:t>
      </w:r>
    </w:p>
    <w:p>
      <w:r>
        <w:t>a) En principe, il n’y a pas lieu de revenir sur les décisions entrées en force, en particulier pour des raisons d’égalité de traitement entre assurés et de sécurité du droit, notamment pour éviter de pouvoir remettre perpétuellement en cause des décisions rendues. b) Cependant, la jurisprudence distingue, sur la base du droit fédéral, quatre cas dans lesquels un conflit peut surgir entre une situation juridique actuelle et une décision entrée en force. Tout d'abord, une constatation inexacte des faits (inexactitude initiale sur les faits) peut, à certaines conditions, être corrigée par une révision procédurale selon l’art. 53 al. 1 LPGA.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et 5).</w:t>
      </w:r>
    </w:p>
    <w:p>
      <w:r>
        <w:rPr>
          <w:b/>
        </w:rPr>
        <w:t>E. 4</w:t>
      </w:r>
    </w:p>
    <w:p>
      <w:r>
        <w:t>Il convient de relever à ce stade que le recourant ne saurait se prévaloir de la présomption d'innocence, qui est un principe de droit pénal et ne s'applique pas en matière d'assurances sociales.</w:t>
      </w:r>
    </w:p>
    <w:p>
      <w:r>
        <w:t>- 22 - Le Tribunal fédéral a d'ailleurs jugé que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(cf. ATF 140 IV 206 consid. 6.2 et 118 V 193 consid. 4a). En revanche est applicable la règle du degré de la vraisemblance prépondérante, selon laquelle le juge retiendra, parmi plusieurs présentations des faits, celle qui lui apparaît comme la plus vraisemblable (cf. TF 8C_916/2011 du 8 du janvier 2013 consid. 2.2 et les références). Il n'existe donc pas un principe selon lequel l'administration ou le juge devrait statuer, dans le doute, en faveur de l'assuré ; le défaut de preuve va au détriment de la partie qui entendait tirer un droit du fait non prouvé (cf. ATF 126 V 319 consid. 5a ; cf. TF 8C_175/2015 du 15 janvier 2016 consid. 3.2).</w:t>
      </w:r>
    </w:p>
    <w:p>
      <w:r>
        <w:rPr>
          <w:b/>
        </w:rPr>
        <w:t>E. 5</w:t>
      </w:r>
    </w:p>
    <w:p>
      <w:r>
        <w:t>août 2008), puisque les faits pertinents ont pu être constatés à satisfaction de droit. d) En conclusion, c'est à juste titre que l'OAI a supprimé la rente avec effet rétroactif au 1er juillet 1999.</w:t>
      </w:r>
    </w:p>
    <w:p>
      <w:r>
        <w:rPr>
          <w:b/>
        </w:rPr>
        <w:t>E. 6</w:t>
      </w:r>
    </w:p>
    <w:p>
      <w:r>
        <w:t>a) Le recours se révèle par conséquent mal fondé et doit être rejeté, la décision attaquée étant confirmée.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w:t>
      </w:r>
    </w:p>
    <w:p>
      <w:r>
        <w:t>- 28 -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Astyanax Peca, conseil du recourant, a produit le 5 septembre 2016 la liste de ses opérations. Celle-ci a été contrôlée au regard de la conduite du procès et rentre globalement dans le cadre de l’accomplissement du mandat confié. Il en résulte que le montant total de l’indemnité couvrant le défraiement et les débours doit être arrêté à 1'788 fr. 65, TVA comprise,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