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ZD14.003090 vom 9. November 2015</w:t>
      </w:r>
    </w:p>
    <w:p>
      <w:r>
        <w:t>VD Tribunal cantonal, 2015-11-09, FR</w:t>
      </w:r>
    </w:p>
    <w:p>
      <w:r>
        <w:rPr>
          <w:b/>
        </w:rPr>
        <w:t xml:space="preserve">Quelle: </w:t>
      </w:r>
      <w:r>
        <w:t>https://mcp.opencaselaw.ch/entscheid/vd_gerichte_ZD14.003090</w:t>
      </w:r>
    </w:p>
    <w:p>
      <w:r>
        <w:t>FR: VD_GERICHTE ZD14.003090 du 9 novembre 2015</w:t>
      </w:r>
    </w:p>
    <w:p>
      <w:r>
        <w:t>IT: VD_GERICHTE ZD14.003090 del 9 novembre 2015</w:t>
      </w:r>
    </w:p>
    <w:p>
      <w:pPr>
        <w:pStyle w:val="Heading2"/>
      </w:pPr>
      <w:r>
        <w:t>Erwägungen</w:t>
      </w:r>
    </w:p>
    <w:p>
      <w:r>
        <w:rPr>
          <w:b/>
        </w:rPr>
        <w:t>E. 18</w:t>
      </w:r>
    </w:p>
    <w:p>
      <w:r>
        <w:t>avril 1999 ; RS 101] ; SVR 2001 IV n° 10 p. 28 consid. 4b ; ATF 124 V 90 consid. 4b ; 122 V 157 consid. 1d et référence citée). 5. In casu, on dispose, en sus des rapports des Drs K.________, E.________ et T.________ adressés à l’OAI et des appréciations du SMR, des documents médicaux versés au dossier de la CNA, soit ceux des différents spécialistes consultés par l’assurée, notamment des Drs J.________, G.________ et M.________. En outre, des examens cliniques complets ont été réalisés par le médecin d’arrondissement de la CNA, le Dr V.________, tandis que la pièce principale fondant la décision entreprise est en définitive le rapport d’expertise somatique et psychique émanant de la Clinique D.________. 5.1 A l’analyse dudit rapport, il y a lieu de constater qu’il constitue à l’évidence le document le plus détaillé et le plus exhaustif reflétant la situation de la recourante à la date de son émission le 17 juillet 2012. Il remplit d’ailleurs à l’évidence les réquisits posés par la jurisprudence fédérale citée supra sous considérant 4.2 pour se voir conférer pleine valeur probante. Singulièrement, les spécialistes de la Clinique D.________ ont procédé à des investigations extrêmement minutieuses et fouillées de l’état de santé objectif de la recourante, sans manquer de préciser les éléments pertinents de son anamnèse et de relever l’ensemble des plaintes alléguées. Ils ont en particulier opéré une analyse complète des pièces médicales et avis spécialisés à disposition. Ils ont par ailleurs discuté les diagnostics ressortant à leur champ de compétences, avant de communiquer leurs conclusions. Celles-ci, portant sur une période d’observation de près d’un mois, emportent manifestement la conviction au vu des constats cliniques rapportés.</w:t>
      </w:r>
    </w:p>
    <w:p>
      <w:r>
        <w:t>- 23 - 5.2 On peut relever sur le plan somatique que le rapport de la Clinique D.________ est complété à satisfaction par les constats cliniques du Dr V.________, lequel a été en mesure de communiquer son appréciation définitive de la capacité de travail résiduelle de la recourante à l’issue de son examen du 7 novembre 2012. En l’absence de diagnostics nouveaux à cette date, on ne peut que se rallier à l’opinion de ce spécialiste quant à l’exigibilité de l’exercice d’une activité lucrative à plein temps, tant il est vrai que l’on ne voit aucun élément de nature à légitimer une réduction de la capacité résiduelle de travail. Les observations ressortant du rapport de la Clinique D.________ et les conclusions du Dr V.________ ne divergent au demeurant pas sensiblement des constats communiqués par les différents spécialistes consultés par l’assurée. En particulier, le Dr J.________ a exposé ne pas trouver d’élément susceptible de justifier un arrêt de travail, tout en constatant une disproportion entre les douleurs d’une part, le traumatisme et le bilan radio-clinique d’autre part (cf. rapport du Dr J.________ du 25 mai 2012). Le Dr G.________ n’a de son côté pas retenu de diagnostics différents de ceux évoqués à la Clinique D.________ et pris en compte par le Dr V.________, tout en ne chiffrant pas la capacité de travail éventuellement exigible de l’assurée (cf. rapport du Dr G.________ du 4 janvier 2012). Quant au Dr M.________, sans se prononcer davantage en termes de capacité de travail de l’assurée, il s’est clairement rapporté aux conclusions de la Clinique D.________ et du Dr J.________ pour préconiser la clôture du cas par la CNA (cf. rapport du Dr M.________ du 18 septembre 2012). Indépendamment des pièces citées ci-dessus, figurant au dossier de la CNA, les rapports médicaux adressés par les médecins traitants de l’assurée à l’OAI n’apportent pas sérieusement d’éléments nouveaux qui parleraient en faveur d’une modification de la symptomatologie et qui induiraient une appréciation différente de celle communiquée en son temps par le Dr V.________ et les experts de la Clinique D.________.</w:t>
      </w:r>
    </w:p>
    <w:p>
      <w:r>
        <w:t>- 24 - En particulier, le rapport de la Dresse K.________ du 19 octobre 2012, relayé quasiment à l’identique par le Dr E.________, se limite à reprendre les diagnostics précédemment évoqués à la Clinique D.________ et à faire part d’une appréciation différente de la capacité de travail fondée sur les plaintes de l’assurée, sans toutefois exclure l’exercice d’une activité adaptée, soit essentiellement sédentaire. Quant au Dr T.________, on ne peut retenir que ce praticien diverge fondamentalement des précédentes observations diagnostiques, puisqu’il a expressément relaté un « trouble douloureux chronique de la cheville » sans davantage fournir d’explication sur les causes et les effets concrets de la symptomatologie alléguée par sa patiente. Le Dr T.________ envisage néanmoins également une « possible capacité de travail en position assise », certes « avec un rendement diminué », mais sans justification objective d’une telle limitation (cf. rapport du Dr T.________ 31 mai 2013, chiffre 1.7). Ainsi, compte tenu de la distance qu’il convient de toute façon de conserver à l’égard de l’appréciation des médecins traitants, il s’impose de constater que les constats cliniques de la Clinique D.________ et l’appréciation communiquée par le Dr V.________ sont demeurés d’actualité pour évaluer l’état de santé somatique de la recourante à la date de la décision ltiigieuse. 5.3 Quant au volet psychique, également étudié de manière approfondie au sein de la Clinique D.________, un seul des nombreux médecins consultés par la recourante, à savoir le Dr E.________, s’est prononcé à cet égard et a qualifié l’état dépressif réactionnel diagnostiqué de « modéré à sévère ». Ce qualificatif n’est cela étant nullement expliqué par ce praticien et émane d’un non-spécialiste en la matière, ce qui justifie manifestement d’écarter cet élément de l’appréciation globale de la situation de l’assurée.</w:t>
      </w:r>
    </w:p>
    <w:p>
      <w:r>
        <w:t>- 25 - On ajoutera au surplus que l’on ne dispose d’aucune pièce attestant d’une prise en charge régulière sur le plan psychiatrique qui viendrait confirmer la sévérité d’une problématique psychique à la date de la décision entreprise. Malgré le fait que la recourante n’a pas hésité à consulter de nombreux médecins, elle n’a jamais mentionné avoir contacté un psychiatre. 5.4 Etant donné ce qui précède, force est de se rallier aux considérations du SMR, communiquées dans les avis des 14 mai 2013 et 6 décembre 2013, lesquelles ont accordé la prépondérance aux observations ressortant du rapport de la Clinique D.________, ainsi que de facto du rapport d’examen du Dr V.________. Le litige peut ainsi être tranché sans mesure d’instruction complémentaire. La requête à cette fin émise par la recourante aux termes de son mémoire du 24 janvier 2014 peut être rejetée par appréciation anticipée des preuves, en vertu de la jurisprudence citée sous considérant 4.3 ci-avant, étant souligné que l’on voit mal qu’un nouvel examen médical apporte actuellement un éclairage différent de la situation qui régnait à la date du 9 décembre 2013. 6. S’agissant des diagnostics susceptibles de se répercuter sur la capacité de travail et les limitations fonctionnelles de la recourante, il y a lieu de rappeler que le SMR a retenu les diagnostics d’une « algoneurodystrophie de la cheville gauche », d’une « gonarthrose fémoro-patellaire gauche » et de « status post-entorse de la cheville gauche ». Un « état dépressif réactionnel » a été écarté à bon droit de l’évaluation faute d’atteindre un degré de gravité suffisant pour avoir valeur d’invalidité. Compte tenu des atteintes principales à la santé susmentionnées, il s’impose, à l’instar du SMR et de l’intimé, de retenir que la recourante est effectivement dotée d’une capacité de travail de 100% dans une activité exercée en position assise sans sollicitation de la jambe gauche. On ne voit pas en effet de raison objective médicale qui</w:t>
      </w:r>
    </w:p>
    <w:p>
      <w:r>
        <w:t>- 26 - contre-indiquerait la reprise d’un emploi, voire justifierait une réduction de ladite capacité ou du rendement exploitable par l’assurée. Partant, on ne peut que confirmer l’évaluation médicale de la situation retenue en définitive par l’intimé. 7. Reste à se prononcer sur l’aspect économique, singulièrement sur les revenus pris en considération par l’OAI pour déterminer le taux d’invalidité de la recourante, tels que détaillés dans la décision entreprise. 7.1 En vertu de l’art. 28a al. 1 LAI, l’art. 16 LPGA s’applique à l’évaluation de l’invalidité des assurés exerçant une activité lucrative.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également : TF 8C_125/2010 du 2 novembre 2010 consid. 2 ; Jean- Maurice Frésard/Margit Moser-Szeless, L'assurance-accidents obligatoire, in : Schweizerisches Bundesverwaltungsrecht, Soziale Sicherheit, 2ème éd., Bâle/Genève/Munich 2007, n° 165 p. 898). La notion de marché du travail équilibré est certes théorique et abstraite mais elle est inhérente au système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(TF 8C_771/2011 du 15 novembre 2012 consid. 4.2). La comparaison des revenus s’effectue, en règle générale, en chiffrant aussi exactement que possible les montants de ces deux revenus</w:t>
      </w:r>
    </w:p>
    <w:p>
      <w:r>
        <w:t>- 27 -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cf. ATF 128 V 29 consid. 1 ; TF 9C_195/2010 du 16 août 2010 consid. 6.2 ; cf. Frésard/Moser-Szeless, op. cit., n° 165 pp. 898-899). Pour procéder à la comparaison des revenus, il convient de se placer au moment de la naissance du droit éventuel à la rente (ATF 129 V 222 consid. 4.2.1 ; TF 9C_254/2010 du 29 octobre 2010 consid. 4.2). 7.2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jusqu’à la date déterminante pour l’évaluation (cf. ATF 129 V 222 consid. 4.3.1). Dans le cas particulier, l’intimé a considéré que sans atteinte à la santé, l’assurée aurait vraisemblablement une activité dans le secteur des nettoyages à un taux de 100%, étant souligné qu’elle avait suivi une formation en vue de l’obtention d’un poste fixe (cf. rapport d’enquête ménagère du 4 juillet 2013). Partant, l’OAI s’est fondé sur la convention collective du secteur du nettoyage pour la Suisse romande pour définir un revenu annuel de 54'469 fr. pour une personne active à 100%, sans qualification particulière, mais avec une expérience de 4 ans dans ce domaine d’activités. Les considérations du Service de réinsertion de l’OAI ont lieu d’être confirmées dans ce contexte, l’assurée pouvant effectivement être qualifiée de personne active à temps complet et ayant exclusivement</w:t>
      </w:r>
    </w:p>
    <w:p>
      <w:r>
        <w:t>- 28 - œuvré en tant qu’employée d’entretien depuis son arrivée en Suisse, respectivement depuis 2007 (cf. comptes individuels AVS de l’assurée). 7.3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revanche,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publiée par l’Office fédéral de la statistique (OFS) ou sur les données salariales ressortant aux descriptifs des postes de travail ([DPT] ; ATF 129 V 472 consid. 4.2.1 ; 126 V 76 consid. 3a/bb ; 124 V 323 consid. 3b/bb ; TF 9C_900/2009 du 27 avril 2010 consid. 3.3).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sans prise en compte toutefois d’aspects socio-culturels (tels que par exemple des problèmes linguistiques). Une déduction globale</w:t>
      </w:r>
    </w:p>
    <w:p>
      <w:r>
        <w:t>- 29 - maximale de 25% sur le salaire statistique permet de tenir compte des différents éléments qui peuvent influencer le revenu d'une activité lucrative (ATF 126 V 75 consid. 5b/aa-cc p. 79 ; TF 9C_704/2008 du 6 février 2009 consid. 3). Cette énumération d’éléments personnels et professionnels pouvant justifier une déduction doit toujours s’inscrire dans le but visé par la jurisprudence qui est de déterminer, à partir de valeurs statistiques, un revenu d’invalide qui corresponde au mieux, in concreto, à l’exploitation lucrative raisonnablement exigible des activités encore possibles dans le cadre de la capacité résiduelle de travail (ATF 126 V 75 consid. 5 ; TF 8C_887/2008 du 24 juin 2009).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(TF 8C_711/2012 du 16 novembre 2012 consid. 4.2.1). La déduction doit être déterminée et motivée en analysant la situation individuelle. Il n’est pas admis de cumuler des déductions quantifiées séparément pour chaque facteur pris en compte, car en opérant de la sorte on en ignorerait les interactions eu égard à une approche globale de la situation (ATF 126 V 75 consid. 5). Le salaire de référence in casu est celui auquel peuvent prétendre les femmes effectuant des activités simples et répétitives dans le secteur privé (production et services) en 2012, soit 4’112 fr. par mois, part au 13ème salaire comprise (ESS 2012, TA1, niveau minimal de qualification 1). Au regard du large éventail d'activités simples et répétitives que recouvrent les secteurs de la production et des services, on doit en effet considérer qu'un certain nombre d'entre elles sont légères et adaptées aux restrictions fonctionnelles présentées par l’assurée. Ce constat rend superflu de définir précisément des activités adaptées, en sus de celles citées exemplativement par le Service de réinsertion de l’intimé dans son rapport final du 21 août 2013.</w:t>
      </w:r>
    </w:p>
    <w:p>
      <w:r>
        <w:t>- 30 - Comme les salaires bruts standardisés tiennent compte d’un horaire de travail de quarante heures, soit une durée hebdomadaire inférieure à la moyenne usuelle dans les entreprises en 2012 (41,7 heures ; cf. OFS / La Vie économique, n°1/2-2014, tableau B 9.2), le revenu mensuel doit être majoré à 4'287 fr. (4’112 fr. x 41,7 / 40), ce qui met à jour un salaire annuel réalisable par l’assurée de 51’441 fr. pour un temps de travail complet. Il se justifie en outre de procéder à une réduction supplémentaire des salaires statistiques. Un abattement maximal de 5% paraît approprié, tel qu’opéré par l’OAI, pour tenir compte du fait que seule une activité légère reste à la portée de la recourante du fait de ses limitations fonctionnelles, demeurant d’ailleurs relativement modestes. Les autres critères dégagés par la jurisprudence fédérale dans ce cadre n’ont pas lieu d’être pris en considération puisque l’assurée est encore relativement jeune et dès lors dotée de ressources adaptatives. On ajoutera qu’une réduction supérieure à celle proposée par l’OAI, par exemple de 10%, ne modifierait pas le degré d’invalidité dans une mesure suffisante pour influer sur le droit à des prestations. Déduction faite à concurrence de 5%, le revenu annuel d’invalide déterminant s’élève ainsi à 48’869 fr. pour un temps de travail de 100%. 7.4 Etant donné les revenus fixés ci-avant, l’incapacité de gain se monte en 2012 à 10,3% ([54’469 fr. – 48’869 fr.] x 100 / 54’469 fr.), arrondis à 10% (cf. ATF 130 V 121 consid. 3.2), excluant de facto le droit à une rente d’invalidité (cf. art. 28 al. 2 LAI). On ajoutera que ce taux exclut également le droit à un reclassement professionnel au sens de l’art. 17 LAI, vu que le seuil minimum fixé par la jurisprudence pour ouvrir droit à est une diminution de la capacité de gain de 20 % environ (ATF 130 V 488 consid. 4.2 et les références). A titre purement indicatif, on relèvera qu’un abattement de 10% opéré sur le salaire statistique entraînerait un revenu d’invalide déterminant de 46'297 fr., portant le degré d’invalidité à 15%, ce qui</w:t>
      </w:r>
    </w:p>
    <w:p>
      <w:r>
        <w:t>- 31 - justifierait également tant le refus de rente que d’un reclassement professionnel. 7.5 Enfin, il convient de relever qu’en dépit de la persistance d’une incapacité totale de travail jusqu’à l’automne 2012 selon les spécialistes de la Clinique D.________, soit après l’échéance du délai de carence prévu par l’art. 28 al. 1 let. b LAI, la recourante ne peut se voir servir des prestations financières de l’AI, même limitées dans le temps. En effet, compte tenu du dépôt de sa demande de prestations en date du 11 septembre 2012, le délai de six mois prévu par l’art. 29 al. 1 LAI n’était manifestement pas encore échu alors que l’assurée avait déjà recouvré une pleine capacité de travail dans une activité adaptée et qu’il s’imposait de lui reconnaître un degré d’invalidité de 10% excluant précisément le droit à une rente. 8. Il résulte de l’exposé qui précède que le recours, entièrement mal fondé, doit être rejeté et la décision querellée confirmée. 8.1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LPA-VD, applicable par renvoi des art. 91 et 99 LPA-VD). In casu, au vu de la nature et de la complexité du litige, les frais judiciaires, mis à la charge de la recourante, sont arrêtés à 400 francs. 8.2 Vu l’issue du recours, la recourante n’obtenant pas gain de cause et n’étant de toute façon plus assistée d’un mandataire professionnel, il n’y a pas lieu d'allouer une indemnité de dépens (art. 61 let. g LPGA ; art. 55 LPA-VD).</w:t>
      </w:r>
    </w:p>
    <w:p>
      <w:r>
        <w:t>- 32 -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