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ZD13.052561 vom 25. Juni 2015</w:t>
      </w:r>
    </w:p>
    <w:p>
      <w:r>
        <w:t>VD Tribunal cantonal, 2015-06-25, FR</w:t>
      </w:r>
    </w:p>
    <w:p>
      <w:r>
        <w:rPr>
          <w:b/>
        </w:rPr>
        <w:t xml:space="preserve">Quelle: </w:t>
      </w:r>
      <w:r>
        <w:t>https://mcp.opencaselaw.ch/entscheid/vd_gerichte_ZD13.052561</w:t>
      </w:r>
    </w:p>
    <w:p>
      <w:r>
        <w:t>FR: VD_GERICHTE ZD13.052561 du 25 juin 2015</w:t>
      </w:r>
    </w:p>
    <w:p>
      <w:r>
        <w:t>IT: VD_GERICHTE ZD13.052561 del 25 giugno 2015</w:t>
      </w:r>
    </w:p>
    <w:p>
      <w:pPr>
        <w:pStyle w:val="Heading2"/>
      </w:pPr>
      <w:r>
        <w:t>Erwägungen</w:t>
      </w:r>
    </w:p>
    <w:p>
      <w:r>
        <w:rPr>
          <w:b/>
        </w:rPr>
        <w:t>E. 20</w:t>
      </w:r>
    </w:p>
    <w:p>
      <w:r>
        <w:t>janvier 2014. Dans sa réponse du 20 janvier 2014, l’intimé conclut au rejet du recours. Il estime que l’expertise du B.________ a pleine valeur probante</w:t>
      </w:r>
    </w:p>
    <w:p>
      <w:r>
        <w:t>- 15 - et que le fait qu’un tel centre se voit régulièrement confier des mandats d’expertise ne permet pas de fonder un manque d’objectivité. S’agissant des nouveaux principes émis par la jurisprudence pour l’établissement d’une expertise, l’intimé a indiqué que le Tribunal fédéral avait estimé plus récemment encore qu’il était disproportionné de considérer que les expertises réalisées suivant les principes valables à une époque donnée perdaient leur valeur probante. Par écriture du 13 février 2014, la recourante renonce à répliquer. Le 27 février 2014, Me Carré a remis une liste détaillée de ses opérations. Les parties ne se sont pas déterminées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Le recours a été déposé dans les trente jours dès la notification de la décision litigieuse et respecte les autres conditions de</w:t>
      </w:r>
    </w:p>
    <w:p>
      <w:r>
        <w:t>- 16 - recevabilité (art. 61 let. b LPGA notamment). Il convient donc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Les modifications de la loi fédérale sur l'assurance-invalidité du</w:t>
      </w:r>
    </w:p>
    <w:p>
      <w:r>
        <w:rPr>
          <w:b/>
        </w:rPr>
        <w:t>E. 21</w:t>
      </w:r>
    </w:p>
    <w:p>
      <w:r>
        <w:t>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30 octobre 2013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w:t>
      </w:r>
    </w:p>
    <w:p>
      <w:r>
        <w:t>- 17 - 3. Il incombe à la Cour de céans d’examiner si l’intimé a rendu une décision conforme aux considérants de l’arrêt de renvoi rendu le 9 février 2010 dans la présente cause (AI 374/09-48/2010), soit concernant la question du rendement dans une activité adaptée, de la présence d’une pathologie psychiatrique et du taux d’abattement. Dès lors est litigieuse la question de savoir si la recourante présente, en raison d’une atteinte à la santé, une diminution de sa capacité de travail et de sa capacité de gain susceptible de lui ouvrir le droit à des prestations de l’assurance-invalidité.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w:t>
      </w:r>
    </w:p>
    <w:p>
      <w:r>
        <w:t>- 18 -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précité consid. 3.1, I 312/2006 du 29 juin 2007 consid. 2.3 et TFA I 274/2005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1er octobre 2013 consid. 3.2, 9C_137/2013 précité consid. 3.1, 9C_66/2013 du 1er juillet 2013 consid. 4, 9C_603/2009 du 2 février 2010 consid. 3.1, 8C_658/2008 et 8C_662/2008 du 23 mars 2009 consid. 3.3.1).</w:t>
      </w:r>
    </w:p>
    <w:p>
      <w:r>
        <w:t>- 19 -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5. S’agissant de l’aspect médical, la recourante remet en cause la valeur probante du rapport d’expertise bidisciplinaire du B.________. a) Dans un premier moyen, la recourante soutient que la désignation du B.________ n’est pas conforme aux normes actuelles en matière de désignation des experts. S'il est exact que dans un arrêt du 28 juin 2011,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et 3.2.4.9) et qu'une nouvelle jurisprudence s'applique d'une manière générale à toutes les procédures pendantes ou futures (ATF 133 V 96 consid. 4.4.6), la Haute Cour a toutefois estimé plus récemment encore qu'il était disproportionné de considérer que des expertises réalisées suivant les principes valables à une époque donnée perdaient leur valeur probante,</w:t>
      </w:r>
    </w:p>
    <w:p>
      <w:r>
        <w:t>- 20 - nonobstant la pertinence des arguments développés, au seul motif qu'elles ne remplissaient pas des critères immédiatement applicables, mais fixés postérieurement à leur réalisation (TF 9C_933/2012 du 16 avril 2013 consid. 3.2 et 9C_776/2010 du 20 décembre 2011 consid. 3.3). Tel est le cas en l’espèce. La recourante a été convoquée le 19 juillet 2010 au B.________ pour une expertise bidisciplinaire qui a été réalisée les 22 et 23 septembre 2010, soit à une époque antérieure à la parution de l’ATF 137 V 210 précité. Par ailleurs, elle se limite à relever que la désignation du B.________ n’est pas conforme à la nouvelle jurisprudence dès lors qu’elle n’a pas pu se prononcer sur le choix de l’expert, sans toutefois indiquer les conséquences négatives que la violation de ce droit aurait concrètement entraînées. Elle n’argumente pas davantage lorsqu’elle se plaint du changement de l’expert rhumatologue, premièrement désigné, sans avoir été consultée. Dans cette mesure, il serait disproportionné de considérer que l’expertise du B.________ n’a pas de valeur probante au seul motif que sa mise en oeuvre ne correspond pas aux nouvelles exigences jurisprudentielles. La recourante émet en outre des réserves sur la partialité du B.________ à l’égard de l’OAI arguant que les assureurs privés ou sociaux s’acharnent à désigner ce centre alors que leurs expertises feraient régulièrement polémique. Or, il s’agit-là d’une affirmation d’ordre général. Elle ne démontre aucunement que l’appréciation du 26 novembre 2010 du B.________ manquerait de neutralité ou d’objectivité.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w:t>
      </w:r>
    </w:p>
    <w:p>
      <w:r>
        <w:t>- 21 - 9C_519/2011 du 5 avril 2012 consid. 3.1). A cet égard, il sied de rappeler que le fait qu'un médecin ou un Centre d'observation médicale de l'assurance-invalidité (COMAI) se voit confier régulièrement des mandats d'expertise par un assureur social n'est pas un motif suffisant pour fonder un manque d'objectivité (ATF 137 V 210 consid. 1.3.3). En outre, la jurisprudence a également admis que l'impartialité et l'indépendance à l'égard de l'administration et de l'Office fédéral des assurances sociales (OFAS) étaient garanties (ATF 123 V 175). En l’espèce, il convient d’écarter les griefs soulevés par la recourante, dès lors qu’elle ne fait état d’aucun élément objectif susceptible de remettre en cause la partialité du B.________. b) Dans un deuxième moyen, la recourante allègue que le rapport du B.________ n’est pas convaincant, faisant notamment référence à l’avis du Dr Y.________ du 20 décembre 2011, ainsi que du rapport d’évaluation du Centre E.________. Certes, une diminution de rendement a été constatée par le Centre E.________ lors de son évaluation du 25 août au</w:t>
      </w:r>
    </w:p>
    <w:p>
      <w:r>
        <w:rPr>
          <w:b/>
        </w:rPr>
        <w:t>E. 24</w:t>
      </w:r>
    </w:p>
    <w:p>
      <w:r>
        <w:t>novembre 2008, lequel aurait estimé que la baisse de rendement effective était de 10 à 20% sur un taux de présence à 75% en raison de ses limitations physiques et sa fragilité psychique. Toutefois, la question du rendement a été examinée par les experts du B.________. Ils ont tenu compte de l’appréciation du Centre E.________, de même que des rapports de la Dresse T.________ ainsi que du rapport du 17 décembre 2008 du Dr Y.________, lesquels font référence à un état anxio-dépressif. Les experts sont néanmoins arrivés à la conclusion que la recourante ne présente aucune diminution de rendement et ont exposé les raisons amenant à cette conclusion. En effet, sur le plan rhumatologique, ils ont constaté des signes de limitation de la mobilité active et passive de l’épaule gauche avec une rotation externe et une abduction diminuées à gauche, compatibles avec une capsulite rétractile. Ils relevaient également des signes de périarthrite de hanche droite ainsi qu’un discret tunnel carpien; ces deux éléments n’ayant aucune influence sur la capacité de travail. En conséquence, ils retenaient des limitations fonctionnelles en raison de la capsulite rétractile, qui, dans</w:t>
      </w:r>
    </w:p>
    <w:p>
      <w:r>
        <w:t>- 22 - une activité adaptée, n’étaient pas susceptible d’entraîner une baisse de rendement. Sur le plan psychique, malgré les douleurs dont s’est plaint la recourante, les experts n’ont observé aucun comportement particulièrement algique ni de rétrécissement marqué du champ de la pensée sur les douleurs. Ils ont également constaté que son orientation dans les trois modes était normale et qu’elle ne souffrait d’aucun trouble cognitif manifeste (attention, concentration, mémoire). Ils ne relevaient ni de trouble du cours de la pensée, ni de réduction de son dynamisme, ni de perte de l’élan vital. Au contraire, le fait qu’elle gère par ses propres moyens les tensions qui sont réapparues suite à l’arrêt de l’antidépresseur démontre qu’elle dispose de bonnes ressources personnelles. Il ressort par ailleurs de l’examen psychique que la recourante ne comprenait pas pourquoi elle était vue par un psychiatre dès lors qu’elle ne pensait pas souffrir de troubles. Elle considérait qu’elle était en arrêt de travail en raison des problèmes au niveau de son membre supérieur gauche avec une perte de force et des douleurs. Ainsi, au terme de l’évaluation de l’ensemble des éléments au dossier et des examens pratiqués, les experts n’ont retrouvé aucun élément en faveur d’un retard mental ni d’une fragilité psychique. Ils ont par ailleurs exposé que s’il était probable qu’elle ait présenté un trouble de l’adaptation avec une réaction mixte et dépressive précédemment, l’anamnèse ne permettait pas de retrouver des éléments en faveur d’un épisode dépressif invalidant. C’est au vu de l’ensemble de ces constatations que les experts ont conclu, sur le plan psychique, à l’absence de limitation fonctionnelle et de diminution de rendement, comme le retient à juste titre le Dr N.________ dans son avis médical du SMR du 21 juin 2013. Cela étant, les remarques du Dr Y.________ dans son rapport du 20 décembre 2011 ne sont d’aucune pertinence dès lors qu’il se limite à critiquer les conclusions des experts du B.________ sans apporter d’éléments médicaux probants permettant de les mettre en doute. Les remarques du Dr Y.________ doivent ainsi être écartées, d’autant plus que les constatations du médecin traitant, ayant tendance à se prononcer en faveur de son patient étant donné sa position de confident, doivent être admises avec réserve (cf. consid. 4c supra).</w:t>
      </w:r>
    </w:p>
    <w:p>
      <w:r>
        <w:t>- 23 - A cela s’ajoute que dans son rapport d’évaluation, le Centre E.________ a relevé que les grands problèmes de communication, le manque d’intérêt ainsi que ses limitations physiques pénalisaient fortement le déroulement du stage, ajoutant qu’il sentait l’assurée contrainte de faire le stage et s’y pliant avec passivité sans bien comprendre les buts de la démarche. En tout état de cause,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La recourante ne peut simplement affirmer de manière péremptoire que son état de santé s’est aggravé depuis le stage au Centre E.________, respectivement depuis</w:t>
      </w:r>
    </w:p>
    <w:p>
      <w:r>
        <w:t>- 24 - l’expertise du B.________ en 2010 sans faire état d’éléments médicaux probants. En effet, les autres pathologies dont elle fait état (vertiges, troubles de l’équilibre, douleurs articulaires, par exemple), ne sauraient être considérées comme invalidantes à défaut de rapports médicaux dans ce sens. En définitive, force est de constater qu'il n'existe aucune appréciation médicale motivée et aucun élément susceptible d’écarter les conclusions du B.________, si bien qu'il convient de retenir que dans une activité strictement adaptée aux limitations fonctionnelles requises par la pathologie physique – à savoir éviter les mouvements utilisant l’épaule gauche et le port de charges avec le membre supérieur gauche – la capacité de travail est de 100% dès 2004, soit depuis son incapacité totale de travail dans son activité habituelle de femme de ménage. c) Au vu des éléments qui précèdent, il y a lieu de reconnaître une pleine valeur probante à l’expertise du 26 novembre 2010 du B.________. En effet, elle a été réalisée sur la base du dossier médical complet, y compris les documents radiologiques de la recourante, et d’examens adéquats. Elle tient compte des plaintes de celle-ci ainsi que de l’anamnèse, qui ont été soigneusement consignées dans le corps du texte. S’agissant des points litigieux, les constatations permettant d’exclure tant une baisse de rendement sur le plan physique et psychique que des limitations fonctionnelles sur le plan psychique ont été exposées de manière détaillée. De plus, les conclusions sont sans équivoque s’agissant de la capacité de travail qui reste entière dans une activité adaptée. Le rapport d’expertise du B.________ remplit ainsi tous les réquisits de la jurisprudence. 6. Il sied de rappeler que la Cour de céans, dans l’arrêt précité, a clairement considéré que la part ménagère était de 30% et la part active de 70% compte tenu de l’activité de femme de ménage et viticole de l’assurée. S’agissant de la détermination du taux d'invalidité selon la méthode mixte, la recourante se limite à critiquer le taux d’abattement</w:t>
      </w:r>
    </w:p>
    <w:p>
      <w:r>
        <w:t>- 25 - retenu par l’intimé, soit 10% comme dans sa première décision du 19 juin 2009.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fédéral du 17 janvier 1961 sur l’assurance-invalidité; RS 831.201]). Par travaux habituels, il faut</w:t>
      </w:r>
    </w:p>
    <w:p>
      <w:r>
        <w:t>- 26 -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L'invalidité totale de la personne résultera de l'addition des taux d'invalidité pondérés dans les deux domaines (ATF 133 V 504).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321 consid. 3b/bb; TF 9C_93/2008 du 19 janvier 2009 consid. 6.3.3). b) En l’espèce, la recourante ne conteste pas le revenu sans invalidité retenu par l’intimé dans sa décision litigieuse. A cet égard, la Cour de céans constate que l’intimé a tenu compte des remarques figurant dans l’arrêt de renvoi rendu le 9 février 2010 dans la présente cause s’agissant du calcul de ce revenu, dès lors qu’il a pris en compte, en</w:t>
      </w:r>
    </w:p>
    <w:p>
      <w:r>
        <w:t>- 27 - sus du salaire perçu en tant que femme de ménage, le gain que réalisait la recourante dans son activité d’effeuilleuse de vignes. Il y a donc lieu de retenir que le revenu sans invalidité de la recourante s’élevait à 39'939 fr. 40. S’agissant du revenu d’invalide, l’intimé s’est fondé sur le salaire de référence auquel peuvent prétendre les femmes dans une activité simple et répétitive dans le secteur privé en 2005, ce qui n’apparaît pas critiquable. Du reste, la recourante ne le conteste pas. Ainsi, il convient de retenir que le salaire annuel hypothétique dans une activité légère de substitution exercée à 70% en 2005 s’élève à 34'467 fr. 55. Par ailleurs, dès lors qu’aucune diminution de rendement n’a été établie par l’expertise du B.________, dont la valeur probante a été constatée ci-avant (cf. consid. 5c supra), il n’y a pas lieu de réduire le salaire hypothétique en conséquence.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et 126 V 75 consid. 5b/bb). Le pouvoir d'examen du juge cantonal des assurances</w:t>
      </w:r>
    </w:p>
    <w:p>
      <w:r>
        <w:t>- 28 -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TF 9C_652/2014 du 20 janvier 2015 consid. 3.1). Certes, dans son arrêt de renvoi du 9 février 2010, la Casso a considéré, entre autres éléments, que le taux d’abattement de 10% retenu par l’OAI dans sa première décision du 19 juin 2009 paraissait insuffisant, à tout le moins insuffisamment motivé. Or, dans la décision litigieuse du 30 octobre 2013, l’intimé a à nouveau estimé qu’un taux d’abattement de 10% était justifié en raison de ses limitations fonctionnelles et de son âge. S’agissant de l’éventuelle prise en compte d’autres circonstances personnelles (en l’espèce : scolarité de base inachevée, absence de formation particulière, absence de maîtrise du français), il y lieu de noter que les difficultés linguistiques, le manque de formation professionnelle ou la capacité d'apprentissage réduite ne peuvent être considérés comme des critères déterminants (TF 9C_297/2011 du 31 janvier 2012 consid. 4.1.5, 9C_713/2009 du 22 juillet 2010 consid. 4.3 et 9C_377/2009 du 20 janvier 2010 consid. 4.5) au regard de la nature des activités encore exigibles (selon l’ESS, niveau de qualification 4 : activités simples et répétitives). En outre, l’intéressée dispose d’une pleine capacité de travail dans une activité adaptée, de sorte qu’elle ne subirait sous cet angle aucun préjudice salarial en cas de retour sur le marché du travail. Dans ces circonstances, on ne voit aucune raison de s’écarter du taux d’abattement de 10% retenu par l’intimé.</w:t>
      </w:r>
    </w:p>
    <w:p>
      <w:r>
        <w:t>- 29 - Pour le surplus, même si l’on appliquait un taux d’abattement supérieur, allant même jusqu’à 25% (soit le taux maximum admis par la jurisprudence, cf. ATF 126 V 75 consid. 5b/aa), ce qui amènerait probablement à un degré d’invalidité total de 29,4%, le droit à la rente ne serait pas ouvert non plus. 7. Des considérants qui précèdent, il résulte que l'OAI n'a pas violé le droit fédéral en rejetant la demande de prestations formée par la recourante et les griefs formulés par cette dernière doivent être écartés. Le recours doit en conséquence être rejeté, ce qui entraîne la confirmation de la décision attaquée. 8.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S'agissant du montant de l'indemnité – laquelle doit être fixée eu égard aux opérations nécessaires pour la conduite du procès, et en</w:t>
      </w:r>
    </w:p>
    <w:p>
      <w:r>
        <w:t>- 30 - considération de l'importance de la cause, de ses difficultés et de l'ampleur du travail consacré par le conseil juridique commis d'office (art. 2 RAJ [règlement cantonal vaudois du 2 décembre 2010 sur l'assistance judiciaire en matière civile; RSV 211.02.3]) – le conseil d’office a produit une liste de ses opérations le 27 février 2014, dont il ressort qu’il a consacré au total 3,2 heures à la défense des intérêts de la recourante, auquel s’ajoutent des débours par 30 francs. C’est ainsi un montant de 654 fr. 50 (3,2 heures au tarif horaire de 180 fr., avec 30 fr. de débours et la TVA à 8%) qui doit être reconnu à titre d'honoraires pour les opérations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