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ZD13.049076 vom 17. Juni 2014</w:t>
      </w:r>
    </w:p>
    <w:p>
      <w:r>
        <w:t>VD Tribunal cantonal, 2014-06-17, FR</w:t>
      </w:r>
    </w:p>
    <w:p>
      <w:r>
        <w:rPr>
          <w:b/>
        </w:rPr>
        <w:t xml:space="preserve">Quelle: </w:t>
      </w:r>
      <w:r>
        <w:t>https://mcp.opencaselaw.ch/entscheid/vd_gerichte_ZD13.049076</w:t>
      </w:r>
    </w:p>
    <w:p>
      <w:r>
        <w:t>FR: VD_GERICHTE ZD13.049076 du 17 juin 2014</w:t>
      </w:r>
    </w:p>
    <w:p>
      <w:r>
        <w:t>IT: VD_GERICHTE ZD13.049076 del 17 giugno 2014</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w:t>
      </w:r>
    </w:p>
    <w:p>
      <w:r>
        <w:t>- 16 - art. 52 et 58 LPGA, les décisions des offices AI cantonaux peuvent directement faire l'objet d'un recours devant le tribunal des assurances du domicile de l'office concerné.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présente cause relève de la compétence d'un membre de la Cour des assurances sociales, statuant comme juge unique, s’agissant d’une contestation relative à la prise en charge d’un moyen auxiliaire devisé à 19'151 fr. 70, selon le devis du 26 janvier 2004 établi par la maison B.________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ATF 110 V 48 consid. 4a; RCC 1985 p. 53). b) Le litige porte sur le droit de la recourante à l’octroi d’un fauteuil roulant électrique, à titre de moyen auxiliaire.</w:t>
      </w:r>
    </w:p>
    <w:p>
      <w:r>
        <w:rPr>
          <w:b/>
        </w:rPr>
        <w:t>E. 3</w:t>
      </w:r>
    </w:p>
    <w:p>
      <w:r>
        <w:t>a) Selon l'art. 8 LAI, les assurés invalides ou menacés d'une invalidité ont droit à des mesures de réadaptation pour autant que ces mesures soient nécessaires et de nature à rétablir, maintenir ou améliorer</w:t>
      </w:r>
    </w:p>
    <w:p>
      <w:r>
        <w:t>- 17 -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DFI du 29 novembre 1976 concernant la remise de moyens auxiliaires par l'assurance-invalidité;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w:t>
      </w:r>
    </w:p>
    <w:p>
      <w:r>
        <w:t>- 18 - l'annexe (al. 2). Le droit s’étend aux accessoires et aux adaptations rendus nécessaires par l’invalidité (al. 3). c) Le ch. 9.02 de l’annexe à l’OMAI prévoit des fauteuils roulants électriques pour les assurés qui ne peuvent utiliser un fauteuil roulant usuel et ne peuvent se déplacer seuls qu’au moyen d’un fauteuil roulant mû électriquement. La remise a lieu sous forme de prêt. Comme pour tout moyen auxiliaire, la prise en charge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9C_265/2012 du 12 octobre 2012 consid. 3.4 et les références citées). La jurisprudence a également souligné à de nombreuses reprises que l'assurance-invalidité n'avait pas pour vocation d'assurer les mesures qui étaient les meilleures dans le cas particulier, mais seulement celles qui étaient nécessaires et propres à atteindre le but visé (TF 9C_265/2012 précité consid. 4.2; ATF 131 V 167 consid. 4.2 et la référence citée).</w:t>
      </w:r>
    </w:p>
    <w:p>
      <w:r>
        <w:rPr>
          <w:b/>
        </w:rPr>
        <w:t>E. 4</w:t>
      </w:r>
    </w:p>
    <w:p>
      <w:r>
        <w:t>a) En l’espèce, le caractère invalidant de l'atteinte à la santé (trouble délirant hypocondriaque) présentée par la recourante n'est pas contesté, puisque celle-ci a été mise au bénéfice d'une rente entière de l'assurance-invalidité à partir du 1er octobre 2010 (par décision du 5 novembre 2012), compte tenu d'une incapacité totale de travail dans toute activité. b) Toutefois, comme précédemment exposé, le moyen auxiliaire doit être nécessité par l’invalidité. Or, l’affection psychique dont souffre la recourante ne nécessite pas de fauteuil roulant. En effet, le trouble délirant hypocondriaque n’est pas une atteinte propre à entraver la faculté de la recourante à se déplacer. Il sied de préciser que le fauteuil</w:t>
      </w:r>
    </w:p>
    <w:p>
      <w:r>
        <w:t>- 19 - roulant est un moyen auxiliaire, lequel peut jouer un rôle de complément ou de remplacement « si le corps est privé de certains membres, ou si une fonction ne se fait plus ou est fortement atteinte » (Michel Valterio, Droit de l’assurance-vieillesse et survivants (AVS) et de l’assurance-invalidité (AI), Genève, Zurich, Bâle 2011, p. 471). Dans le cas de la recourante, aucune atteinte n’a été reconnue sur le plan somatique organique. Les douleurs musculaires dont elle se plaint n’ont pas pu être objectivées – comme l’admet par ailleurs le Dr P.________ – et aucune incapacité à marcher n’a été attestée sur le plan médical. En effet, il ne ressort du dossier aucune limitation fonctionnelle empêchant la recourante de marcher. Il n’existe dès lors aucune justification médicale à l’octroi d’un fauteuil roulant. Par conséquent, c’est à juste titre que l’intimé a refusé d’octroyer à la recourante ce moyen auxiliaire. Pour le surplus, on peut constater que les rapports médicaux du Dr P.________ permettent également de confirmer que les conditions de la nécessité mais également de l’adéquation d’un fauteuil roulant ne sont pas remplies. En effet, il se réfère à ce moyen auxiliaire comme à un souhait, une préférence ou une possibilité. En particulier, il a considéré que l’impotence de la recourante pouvait être améliorée par des moyens auxiliaires, « à la rigueur [par] un moyen de déplacement auxiliaire pour longue distance à l’extérieur, si possible électrique de préférence » (rapport médical du 15 août 2012), que l’octroi d’un fauteuil roulant électrique était « souhaitable », « afin de permettre les déplacements aisés et sécurisés à l’extérieur » (rapport médical du 25 mars 2013) et que l’accès à des moyens auxiliaires « seraient susceptibles d’améliorer tant soit peu son quotidien » (courrier du 15 janvier 2014). c) On rappellera enfin que s’agissant des répercussions de l’atteinte à la santé psychique sur le besoin d'aide d'autrui ou de surveillance personnelle pour l'accomplissement des actes élémentaires de la vie quotidienne, l’intimé a fait siennes les conclusions du rapport d’enquête relative à l’impotence du 4 février 2013, selon lesquelles les troubles en cause permettaient d’admettre que l'assurée réalisait les conditions d'une impotence de degré faible au sens des art. 42 al. 2 LAI et</w:t>
      </w:r>
    </w:p>
    <w:p>
      <w:r>
        <w:t>- 20 - 37 al. 3 RAI. L'allocation ainsi versée tend par conséquent à couvrir tout ou partie de ces frais d'aide ou de surveillance. Au demeurant, on ajoutera que la personne assurée et son entourage ont également le devoir d'aménager, dans la mesure du possible, l'exercice de leurs relations de manière à ce que le système de la sécurité sociale soit le moins possible sollicité (TF 9C_265/2012 précité consid. 4.2; voir également arrêt 8C_315/2008 du 3 juin 2009 consid. 3.4.3, in SVR 2009 IV n° 49 p. 149).</w:t>
      </w:r>
    </w:p>
    <w:p>
      <w:r>
        <w:rPr>
          <w:b/>
        </w:rPr>
        <w:t>E. 5</w:t>
      </w:r>
    </w:p>
    <w:p>
      <w:r>
        <w:t>Il s’ensuit que le recours doit être rejeté et la décision entreprise maintenue. Compte tenu de l'ampleur de la procédure, les frais de justice sont arrêtés à 200 fr. et mis à la charge de la recourante qui succombe (art. 69 al. 1bis LAI et 49 al. 1 LPA-VD). Il n'y a pas lieu d'allouer de dépens, la recourante n'obtenant pas gain de cause (art. 55 al. 1 LPA-VD; cf. art. 61 let. g LPGA). Par ces motifs, la juge unique p r o n o n c e : I. Le recours est rejeté. II. La décision rendue le 14 octobre 2013 par l'Office de l'assurance-invalidité pour le canton de Vaud est confirmée. III. Les frais de justice, arrêtés à 200 fr. (deux cents francs), sont mis à la charge de U.________. IV. Il n'est pas alloué de dépens. La juge unique : La greffière :</w:t>
      </w:r>
    </w:p>
    <w:p>
      <w:r>
        <w:t>- 21 - Du L'arrêt qui précède est notifié à : - U.________,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