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ZD13.040132 vom 12. September 2014</w:t>
      </w:r>
    </w:p>
    <w:p>
      <w:r>
        <w:t>VD Tribunal cantonal, 2014-09-12, FR</w:t>
      </w:r>
    </w:p>
    <w:p>
      <w:r>
        <w:rPr>
          <w:b/>
        </w:rPr>
        <w:t xml:space="preserve">Quelle: </w:t>
      </w:r>
      <w:r>
        <w:t>https://mcp.opencaselaw.ch/entscheid/vd_gerichte_ZD13.040132</w:t>
      </w:r>
    </w:p>
    <w:p>
      <w:r>
        <w:t>FR: VD_GERICHTE ZD13.040132 du 12 septembre 2014</w:t>
      </w:r>
    </w:p>
    <w:p>
      <w:r>
        <w:t>IT: VD_GERICHTE ZD13.040132 del 12 settembre 2014</w:t>
      </w:r>
    </w:p>
    <w:p>
      <w:pPr>
        <w:pStyle w:val="Heading2"/>
      </w:pPr>
      <w:r>
        <w:t>Erwägungen</w:t>
      </w:r>
    </w:p>
    <w:p>
      <w:r>
        <w:rPr>
          <w:b/>
        </w:rPr>
        <w:t>E. 4</w:t>
      </w:r>
    </w:p>
    <w:p>
      <w:r>
        <w:t>Le recourant soutient que la date de la survenance de l’invalidité n’a pas été fixée précisément par l’intimé. Ce dernier aurait conclu prématurément, sans examens médicaux suffisants, à une incapacité de travail durable remontant à l’accident du 21 [recte : 20] juin 2009. Il serait probable, toujours d’après le recourant, que le dysfonctionnement exécutif et attentionnel se manifestant de manière</w:t>
      </w:r>
    </w:p>
    <w:p>
      <w:r>
        <w:t>- 11 - invalidante sur le plan comportemental, selon le rapport d’examen neuropsychologique du 16 janvier 2013, ne soit apparu que plusieurs mois après l’accident de vélo. Une expertise pluridisciplinaire serait donc nécessaire pour établir « de manière scientifique », la date à partir de laquelle l’assuré a présenté, en moyenne, une incapacité de travail de 40% au moins pendant une année sans interruption notable. a) Le recourant a subi, le 20 juin 2009, un traumatisme crânien sévère avec hématome épidural pariéto-occipital droit, contusions basi-frontales bilatérales, contusions disséminées avec probables lésions axonales diffuses, fracture de la base du crâne et thrombose du sinus sigmoïde droit. Il s’est soumis, le 21 juin 2009, à une craniotomie pour évacuation de l’hématome épidural occipital droit. Il a été transféré du Centre hospitalier F.________ à l’Hôpital R.________ le 1er juillet 2009, mais a dû être ensuite adressé au Centre de psychiatrie S.________ en raison d’un trouble de l’adaptation avec perturbation des conduites. En effet, il avait présenté des troubles du comportement avec fugue et mise en danger, et les médecins de l’Hôpital R.________ ont proposé d’office son transfert en milieu psychiatrique fermé. Le patient était anosognosique par rapport à la prise en charge somatique, convaincu qu’il pourrait faire du sport et que ceci lui permettrait de guérir (rapport des Drs Z.________ et Q.________ du 25 septembre 2009). Le recourant a pu quitter le Centre de psychiatrie S.________ et rentrer à domicile le 17 juillet 2009. En 2012, le Dr V.________ a adressé l’assuré à l’Hôpital R.________ pour la réalisation d’une IRM qui a mis en évidence de très importantes séquelles traumatiques frontales bilatérales, comparables à 2009 (rapport du 17 février 2012 du Dr Y.________). Le 26 juillet 2012, le Dr V.________ indiquait à l’OAI que le recourant souffrait d’un syndrome psycho-organique post-traumatique crânio-cérébral et présentait « depuis lors » une irritabilité, un probable état dépressif, une agressivité à l’égard d’autrui et de récents épisodes de chute sans perte de connaissance. Peu auparavant, le Dr V.________ avait adressé le recourant au Dr D.________, neurologue, en indiquant qu’il se plaignait depuis l’accident d’une douleur temporale droite, d’une part, et d’une irritabilité qui se manifestait par un tempérament agressif à l’égard de ses enfants, ainsi que d’une fatigue et même de phases où il</w:t>
      </w:r>
    </w:p>
    <w:p>
      <w:r>
        <w:t>- 12 - « tomb[ait] par terre et y rest[ait] 4h » sans perte de connaissance. Le Dr V.________ précisait toutefois que l’assuré avait toujours été assez agressif. Le Dr D.________ a posé, dans un rapport du 10 août 2012 au Dr V.________, le diagnostic d’état après traumatisme crânio-cérébral grave avec séquelles neuropsychologiques probables, difficiles à quantifier. Enfin, le rapport d’examen neuropsychologique du 16 janvier 2013, ordonné par l’OAI, a conclu à différents déficits parfaitement compatibles avec des séquelles de traumatisme crânio-cérébral sévère. La sévérité du tableau n’était pas compatible avec l’exercice d’une activité lucrative et peu d’améliorations étaient à attendre trois ans et demi après l’accident. Au vu de l’ensemble de ces constations médicales, tout indique que le recourant présente d’importantes séquelles neuropsychologiques à la suite de l’accident du 20 juin 2009, ainsi qu’un probable état dépressif. Ces atteintes entraînent une incapacité de travail totale, ou en tout cas de 40% au moins, selon toute vraisemblance depuis l’accident. Le fait que le Dr V.________ n’ait ordonné une IRM qu’en février 2012 peut s’expliquer par l’anosognosie dont l’assuré faisait preuve en 2009 ; l’irritabilité, manifestée par de l’agressivité, a pu, par ailleurs, ne pas paraître anormale au Dr [...], dans la mesure où il l’avait déjà constatée avant l’accident. Certes, les Drs P.________ et G.________ ont dressé le 4 novembre 2009 un constat rassurant : « Monsieur L.________ a eu une bonne évolution après son traumatisme crânien avec une nette amélioration du point de vue neurologique ». Toutefois, on voit mal comment le recourant aurait surmonté les atteintes à la santé constatées notamment au Centre hospitalier F.________ et à l’Hôpital R.________ pendant l’été 2009, au point de retrouver pendant plusieurs mois une capacité de travail de 60% au moins, pour ensuite présenter à nouveau en 2012 une incapacité de travail totale avec de « très importantes séquelles traumatiques frontales bilatérales comparables à 2009 ». Il convient au contraire de constater que ces atteintes à la santé et les troubles neuropsychologiques ainsi que l’incapacité de travail qui en résulte datent effectivement de l’accident du mois de juin 2009, sans interruption notable par la suite. Ainsi, en juin 2010 (art. 28 al. 1 let. b LAI), l’assuré ne satisfaisait pas à l’exigence posée par l’art. 36 al. 1 LAI, soit d’avoir cotisé</w:t>
      </w:r>
    </w:p>
    <w:p>
      <w:r>
        <w:t>- 13 - trois ans au minimum, son arrivée en Suisse datant d’août 2007. Il n’est pas nécessaire d’ordonner l’expertise pluridisciplinaire demandée par le recourant dans la mesure où cette expertise ne permettrait pas, selon toute vraisemblance, de revoir ce constat. b) Compte tenu de ce qui précède, la condition d’assurance n’était pas remplie au moment de la survenance de l’invalidité, de sorte que le recourant n’a pas droit à une rente d’invalidité.</w:t>
      </w:r>
    </w:p>
    <w:p>
      <w:r>
        <w:rPr>
          <w:b/>
        </w:rPr>
        <w:t>E. 5</w:t>
      </w:r>
    </w:p>
    <w:p>
      <w:r>
        <w:t>Le recourant soutient également que l’application de l’art. 36 LAI est discriminatoire dans son résultat, au moins de façon indirecte. a) L’art. 36 al. 1 LAI entraîne, certes, une discrimination indirecte des ressortissants étrangers qui ont accompli une période de cotisation à l’étranger. Toutefois, le recourant ne cite aucune disposition qui justifierait, pour ce motif, de renoncer à appliquer cette disposition. Le droit constitutionnel à l’égalité de traitement, prévu par l’art. 8 Cst. [Constitution fédérale du 18 avril 1999 de la Confédération suisse ; RS 101] ne permet pas de renoncer à l’application d’une loi fédérale qui lui serait contraire (ATF 136 I 65 consid. 3.2, 121 V 229 consid. 2). Au demeurant, le recourant ne subirait une discrimination indirecte qu’à la condition de pouvoir se prévaloir d’une période de cotisations à l’étranger, ce dont il n’apporte aucun indice en procédure. b) L’art. 36 LAI est donc bien opposable au recourant.</w:t>
      </w:r>
    </w:p>
    <w:p>
      <w:r>
        <w:rPr>
          <w:b/>
        </w:rPr>
        <w:t>E. 6</w:t>
      </w:r>
    </w:p>
    <w:p>
      <w:r>
        <w:t>a) Mal fondé, le recours doit être rejeté et la décision attaquée confirmée. b) Les frais de justice doivent être arrêtés à 400 fr. et sont mis à la charge du recourant, qui succombe (art. 69 al. 1bis LAI ; art. 49 al. 1 LPA-VD). Toutefois, dès lors que le recourant est au bénéfice de l'assistance judiciaire, ces frais sont laissés provisoirement à la charge de l'Etat. Il n'y a pas lieu d'allouer de dépens, le recourant n'obtenant pas gain de cause (art. 55 al. 1 LPA-VD ; cf. art. 61 let. g LPGA).</w:t>
      </w:r>
    </w:p>
    <w:p>
      <w:r>
        <w:t>- 14 - c) Le recourant a obtenu, au titre de l'assistance judiciaire, la commission d'office d'un avocat en la personne de Me Sébastien Pedroli (art. 118 al. 1 let. c CPC [code de procédure civile du 19 décembre 2008 ; RS 272] par renvoi de l'art. 18 al. 5 LPA-VD). Celui-ci a produit la liste de ses opérations faisant état d'un temps consacré à la défense du recourant de 16 heures et 45 minutes. Cette liste comprend toutefois des opérations antérieures à la date de la décision litigieuse et qui couvrent donc son activité pour la procédure administrative. Elles ne sont pas indemnisables dans le cadre du mandat d’office pour la procédure de recours. Par ailleurs, la procédure de recours a entraîné, comme acte de procédure, le dépôt d’un mémoire de recours et d’une demande d’assistance judiciaire, sans autre détermination ni audience. On admettra dans ces circonstances, qu’une indemnité de 2'250 fr., TVA comprise, correspondant à 11 heures de travail et à un montant forfaitaire de 100 fr., à titre de débours, est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