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ZD13.038178 vom 26. Mai 2014</w:t>
      </w:r>
    </w:p>
    <w:p>
      <w:r>
        <w:t>VD Tribunal cantonal, 2014-05-26, FR</w:t>
      </w:r>
    </w:p>
    <w:p>
      <w:r>
        <w:rPr>
          <w:b/>
        </w:rPr>
        <w:t xml:space="preserve">Quelle: </w:t>
      </w:r>
      <w:r>
        <w:t>https://mcp.opencaselaw.ch/entscheid/vd_gerichte_ZD13.038178</w:t>
      </w:r>
    </w:p>
    <w:p>
      <w:r>
        <w:t>FR: VD_GERICHTE ZD13.038178 du 26 mai 2014</w:t>
      </w:r>
    </w:p>
    <w:p>
      <w:r>
        <w:t>IT: VD_GERICHTE ZD13.038178 del 26 maggio 2014</w:t>
      </w:r>
    </w:p>
    <w:p>
      <w:pPr>
        <w:pStyle w:val="Heading2"/>
      </w:pPr>
      <w:r>
        <w:t>Erwägungen</w:t>
      </w:r>
    </w:p>
    <w:p>
      <w:r>
        <w:rPr>
          <w:b/>
        </w:rPr>
        <w:t>E. 7</w:t>
      </w:r>
    </w:p>
    <w:p>
      <w:r>
        <w:t>juillet 2009 (cf. mémoire de recours du 4 septembre 2013 p. 4), ses griefs devraient être considérés comme irrecevables, dite décision étant entrée en force et échappant par conséquent au contrôle de la Cour de céans. e) En définitive, il apparaît qu’en rejetant par décision du 4 juillet 2013 la nouvelle demande de prestations déposée par l’assuré le 12 mai 2012, l’OAI n’a pas agi de manière contraire au droit. 6. a) Vu ce qui précède, le recours se révèle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mis à la charge du recourant, qui succombe (cf. art. 49 al. 1 LPA-VD). Vu l’issue du litige, il n’y a pas lieu à allocation de dépens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