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ZD13.032415 vom 25. August 2014</w:t>
      </w:r>
    </w:p>
    <w:p>
      <w:r>
        <w:t>VD Tribunal cantonal, 2014-08-25, FR</w:t>
      </w:r>
    </w:p>
    <w:p>
      <w:r>
        <w:rPr>
          <w:b/>
        </w:rPr>
        <w:t xml:space="preserve">Quelle: </w:t>
      </w:r>
      <w:r>
        <w:t>https://mcp.opencaselaw.ch/entscheid/vd_gerichte_ZD13.032415</w:t>
      </w:r>
    </w:p>
    <w:p>
      <w:r>
        <w:t>FR: VD_GERICHTE ZD13.032415 du 25 août 2014</w:t>
      </w:r>
    </w:p>
    <w:p>
      <w:r>
        <w:t>IT: VD_GERICHTE ZD13.032415 del 25 agosto 2014</w:t>
      </w:r>
    </w:p>
    <w:p>
      <w:pPr>
        <w:pStyle w:val="Heading2"/>
      </w:pPr>
      <w:r>
        <w:t>Erwägungen</w:t>
      </w:r>
    </w:p>
    <w:p>
      <w:r>
        <w:rPr>
          <w:b/>
        </w:rPr>
        <w:t>E. 13</w:t>
      </w:r>
    </w:p>
    <w:p>
      <w:r>
        <w:t>novembre 2007, 21 janvier 2008 et 18 juillet 2013. Le Dr H.________ n’a au demeurant pas établi l’impact des troubles psychiques sur la capacité de travail, le Dr J.________ étant pourtant d’avis que l’état dépressif préexistant s’était aggravé et le Dr M.________ faisant lui aussi état d’une péjoration à ce niveau. L’intimé ne disconvient en outre pas de l’opportunité d’interpeller le Dr J.________ sur le caractère « potentiellement incapacitant » de l’étant de santé psychiatrique du recourant, ainsi que le Dr M.________ sur l’évaluation de la capacité de travail. L’assuré allègue par ailleurs une perte de l’œil droit qui n’a pas été prise en compte. Finalement, la seule appréciation du Dr H.________ de mai 2008 n’est pas suffisante pour admettre que c’est à cette date qu’il convient d’examiner si l’on pouvait exiger du recourant qu’il mette en valeur sa capacité de travail dans une activité adaptée, en l’absence d’une instruction médicale suffisante sur les autres plans (qu’orthopédique), savoir en particulier aux plans neurologique et psychiatrique. Il subsiste ainsi des lacunes d’instruction tant sur le plan somatique que sur les plans psychique et neurologique. b)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w:t>
      </w:r>
    </w:p>
    <w:p>
      <w:r>
        <w:t>- 16 -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En l'occurrence, il s'avère que le dossier de la cause présente des lacunes sur le plan médical, non seulement sur le plan somatique mais également sous les angles psychiques et neurologiques. Compte tenu de ces carences, ni l'état de santé du recourant dans sa globalité, ni les conséquences de son état de santé sur sa capacité de travail n'ont pu être établis à satisfaction de droit, pas plus que le moment à compter duquel l’exercice (en plein ou partiel) d’une activité lucrative serait exigible du point de vue médical.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Dans ce contexte, il appartiendra à l'intimé de procéder aux mesures d’instruction utiles afin de compléter l’instruction médicale auprès des différents spécialistes ayant examiné le recourant depuis 2008, puis de mettre en œuvre une expertise pluridisciplinaire (comportant à tout le moins un volet</w:t>
      </w:r>
    </w:p>
    <w:p>
      <w:r>
        <w:t>- 17 - neurologique et un volet psychiatrique) en vue de définir ses troubles et leur impact éventuel sur sa capacité de travail. Sur cette base, il incombera ensuite à l’OAI, par le biais d’une nouvelle décision, de statuer sur le droit aux prestations de l'intéressé. 5.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l’assistance d’un mandataire autorisé, a droit à des dépens (cf. art. 61 let. g LPGA et 55 al. 1 LPA-VD par renvoi de l’art. 99 al. 1 LPA-VD), qu’il y a lieu d’arrêter à 1'000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