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ZD13.023931 vom 12. November 2013</w:t>
      </w:r>
    </w:p>
    <w:p>
      <w:r>
        <w:t>VD Tribunal cantonal, 2013-11-12, FR</w:t>
      </w:r>
    </w:p>
    <w:p>
      <w:r>
        <w:rPr>
          <w:b/>
        </w:rPr>
        <w:t xml:space="preserve">Quelle: </w:t>
      </w:r>
      <w:r>
        <w:t>https://mcp.opencaselaw.ch/entscheid/vd_gerichte_ZD13.023931</w:t>
      </w:r>
    </w:p>
    <w:p>
      <w:r>
        <w:t>FR: VD_GERICHTE ZD13.023931 du 12 novembre 2013</w:t>
      </w:r>
    </w:p>
    <w:p>
      <w:r>
        <w:t>IT: VD_GERICHTE ZD13.023931 del 12 novembre 2013</w:t>
      </w:r>
    </w:p>
    <w:p>
      <w:pPr>
        <w:pStyle w:val="Heading2"/>
      </w:pPr>
      <w:r>
        <w:t>Erwägungen</w:t>
      </w:r>
    </w:p>
    <w:p>
      <w:r>
        <w:rPr>
          <w:b/>
        </w:rPr>
        <w:t>E. 4</w:t>
      </w:r>
    </w:p>
    <w:p>
      <w:r>
        <w:t>a) Un assuré a droit à une rente s'il est invalide à 40% au moins (art. 28 al. 2 LAI). Pour évaluer le degré d'invalidité, il existe principalement trois méthodes – la méthode générale de comparaison des revenus, la méthode spécifique et la méthode mixte –, dont l'application dépend du statut du bénéficiaire potentiel de la rente: assuré exerçant une activité lucrative à temps complet, assuré non actif, assuré exerçant une activité lucrative à temps partiel (ATF 137 V 334 consid. 3.1).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 cent et la méthode extraordinaire de comparaison des revenus (ATF 137 V 334 consid. 3.1.1; TF 9C_36/2013 du 21 juin 2013 consid. 4.1.1 et les références citées).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5 al. 1 LAI et 27 RAI [règlement du 17 janvier 1961</w:t>
      </w:r>
    </w:p>
    <w:p>
      <w:r>
        <w:t>- 15 - sur l'assurance-invalidité, RS 831.201]; cf. TF 9C_36/2013 du 21 juin 2013 consid. 4.1.2). Par travaux habituels, il faut notamment entendre l'activité usuelle dans le ménage, l'éducation des enfants ainsi que toute activité artistique ou d'utilité publique (art. 27 RAI; cf. ATF 137 V 334 consid. 3.1.2). Chez les assurés qui n'exerçaient que partiellement une activité lucrative avant d'être atteints dans leur santé physique, mentale ou psychique,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cf. ATF 137 V 334 consid. 3.1.3; TF 9C_36/2013 du 21 juin 2013 consid. 4.1.3).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w:t>
      </w:r>
    </w:p>
    <w:p>
      <w:r>
        <w:t>- 16 - force probatoire reconnue habituellement en droit des assurances sociales atteigne le degré de la vraisemblance prépondérante (ATF 137 V 334 consid. 3.2 et les références citées; TF 9C_36/2013 du 21 juin 2013 consid. 4.2). b) Une enquête ménagère effectuée au domicile de la personne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TF 9C_716/2012 du 11 avril 2013 consid. 4.2 et les références citées).</w:t>
      </w:r>
    </w:p>
    <w:p>
      <w:r>
        <w:rPr>
          <w:b/>
        </w:rPr>
        <w:t>E. 5</w:t>
      </w:r>
    </w:p>
    <w:p>
      <w:r>
        <w:t>En l’espèce, le statut d’active à 80% et de ménagère à 20% n’est, à juste titre, pas remis en cause. Il est également établi que l'état de santé de la recourante est affecté, si bien qu’elle présente au plus une capacité de travail de 40% dans une activité adaptée (cf. p. 16 du rapport d’expertise de la Clinique Z.________) et que sa capacité de travail subit une réduction de 25% au moins depuis le 4 janvier 2010 (cf. p. 15 du rapport d’expertise). Les médecins de la Clinique Z.________ notent par ailleurs dans leur rapport que l’intéressée était très organisée jusqu’en 2009 dans son appartement, mais qu’elle a laissé depuis lors s’accumuler beaucoup de désordre. En raison de ses douleurs, elle n’est plus capable de récurer ou de faire les vitres et passe l’aspirateur dans une seule pièce à la fois. Les experts relèvent également que la recourante a déclaré avoir refusé l’enquête ménagère prévue le 14 juillet 2011 car elle avait trop</w:t>
      </w:r>
    </w:p>
    <w:p>
      <w:r>
        <w:t>- 17 - honte du désordre qui régnait chez elle (cf. p. 4 du rapport d'expertise). Il ressort du reste du rapport du 8 juillet 2011, rédigé par l’enquêtrice qui s’est trouvée dans l’impossibilité de réaliser son enquête au domicile de l’assurée, que cette dernière avait expliqué que son intérieur n’était "pas glorieux" et qu'elle faisait ce qu’elle pouvait en différant beaucoup en fonction du moment. Compte tenu des affections dont souffre la recourante et des déclarations qu’elle a faites aux experts, à l’enquêtrice et à l’intimé, il est vraisemblable qu’elle présente des empêchements ménagers qui pourraient avoir une incidence sur son taux d’incapacité et donc sur l’étendue de son droit aux prestations. En pareilles circonstances, la réalisation d’une enquête ménagère était nécessaire afin de permettre à l'OAI de se prononcer en toute connaissance de cause sur l’étendue du droit aux prestations de son assurée. Certes, la recourante a été invitée, par courrier du 11 septembre 2012, à faire savoir à l’intimé si elle était d’accord qu’une enquêtrice reprenne contact avec elle pour un entretien à son domicile, avec la précision qu’il s’agissait de la seule manière de déterminer ses empêchements. Toutefois, cette seule allégation ne peut être considérée comme une mise en demeure l’avertissant des conséquences juridiques de son refus de collaborer, au sens de l'art. 43 al. 3 LPGA, ce d’autant moins que l’OAI n’a pas imparti de délai à la recourante pour lui permettre de se conformer à ses obligations. Dans ces conditions, la décision attaquée doit être annulée et la cause retournée à l’intimé qui en reprendra l’instruction et impartira un délai approprié à la recourante pour qu’elle se soumette à une enquête ménagère à son domicile, l’assurée étant d’ores et déjà invitée à se conformer à ses obligations.</w:t>
      </w:r>
    </w:p>
    <w:p>
      <w:r>
        <w:t>- 18 -</w:t>
      </w:r>
    </w:p>
    <w:p>
      <w:r>
        <w:rPr>
          <w:b/>
        </w:rPr>
        <w:t>E. 6</w:t>
      </w:r>
    </w:p>
    <w:p>
      <w:r>
        <w:t>En définitive, le recours se révèle bien fondé et doit par conséquent être admis, ce qui entraîne l'annulation de la décision attaquée et le renvoi de la cause à l'intimé pour qu'il procède selon les considérants qui précèdent. La recourante, qui a procédé sans mandataire professionnel, n’a pas droit à des dépens. L'intimé supportera les frais de justice (art. 69 al. 1bis LAI; CASSO AI 230/11 – 144/2012 du 23 avril 2012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