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ZD13.022324 vom 12. Februar 2015</w:t>
      </w:r>
    </w:p>
    <w:p>
      <w:r>
        <w:t>VD Tribunal cantonal, 2015-02-12, FR</w:t>
      </w:r>
    </w:p>
    <w:p>
      <w:r>
        <w:rPr>
          <w:b/>
        </w:rPr>
        <w:t xml:space="preserve">Quelle: </w:t>
      </w:r>
      <w:r>
        <w:t>https://mcp.opencaselaw.ch/entscheid/vd_gerichte_ZD13.022324</w:t>
      </w:r>
    </w:p>
    <w:p>
      <w:r>
        <w:t>FR: VD_GERICHTE ZD13.022324 du 12 février 2015</w:t>
      </w:r>
    </w:p>
    <w:p>
      <w:r>
        <w:t>IT: VD_GERICHTE ZD13.022324 del 12 febbraio 2015</w:t>
      </w:r>
    </w:p>
    <w:p>
      <w:pPr>
        <w:pStyle w:val="Heading2"/>
      </w:pPr>
      <w:r>
        <w:t>Erwägungen</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w:t>
      </w:r>
    </w:p>
    <w:p>
      <w:r>
        <w:t>- 24 - Par ailleurs, l’art. 29 al. 1 LAI dans sa teneur en vigueur depuis le 1er janvier 2008, prévoit que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w:t>
      </w:r>
    </w:p>
    <w:p>
      <w:r>
        <w:t>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w:t>
      </w:r>
    </w:p>
    <w:p>
      <w:r>
        <w:rPr>
          <w:b/>
        </w:rPr>
        <w:t>E. 8</w:t>
      </w:r>
    </w:p>
    <w:p>
      <w:r>
        <w:t>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6.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w:t>
      </w:r>
    </w:p>
    <w:p>
      <w:r>
        <w:rPr>
          <w:b/>
        </w:rPr>
        <w:t>E. 10</w:t>
      </w:r>
    </w:p>
    <w:p>
      <w:r>
        <w:t>mars 2009, consid. 2.1). En outre, les renseignements fournis par les</w:t>
      </w:r>
    </w:p>
    <w:p>
      <w:r>
        <w:t>- 25 -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Les constatations émanant de médecins consultés par l'assuré doivent être admises avec réserve; il faut en effet tenir compte du fait</w:t>
      </w:r>
    </w:p>
    <w:p>
      <w:r>
        <w:t>- 26 -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jursiprudence citée). Cela vaut également lorsqu’un ou plusieurs médecins ont émis une opinion divergeant de celle de l’expert (TF 9C_268/2011 précité, loc. cit.,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w:t>
      </w:r>
    </w:p>
    <w:p>
      <w:r>
        <w:t>- 27 - besoin, une instruction complémentaire sous la forme d'une nouvelle expertise médicale (ATF 125 V 351 consid. 3b, 352 consid. 3b/aa et les références ; TF 9C_298/2009 du 3 février 2010, consid. 2.2 et 9C_603/2009 du 2 février 2010, consid. 3.2). 7. En l’espèce, l’OAI a retenu dans sa décision – suivant en ce sens l’avis du SMR du 5 octobre 2011, lui-même basé sur les conclusions du complément d’expertise psychiatrique du 23 septembre 2011 du Dr G.________ et A.________ –, que l’atteinte psychique actuelle du recourant était compatible avec une reprise de l’activité habituelle d’indépendant à plein temps, ceci au plus tard dès le 8 février 2011. Par rapport à leur première expertise psychiatrique du 10 février 2010 au terme de laquelle ils avaient conclu à une incapacité de travailler à 100%, les experts précités ont cette fois-ci posé les diagnostics sans effet sur la capacité de travail d’état dépressif majeur récurrent de gravité légère et/ou troubles mentaux et du comportement liés à l’utilisation de l’alcool, de non ou mauvaise observance au traitement, de dépendance éthylique et de personnalité immature avec traits limites. Selon le Dr G.________ et A.________, il existerait une amélioration progressive de l’état psychique du recourant depuis son hospitalisation du 3 au 22 février 2010 à l’hôpital psychiatrique de la Fondation de [...] malgré une non-observance au traitement anti-dépresseur. A l’appui de sa nouvelle demande, le recourant a produit plusieurs rapports de ses médecins traitants, dont notamment en dernier lieu un certificat émanant de la Dresse Q.________ et U.________. Il soutient que ce rapport établi le 22 octobre 2013 attesterait l’existence d’éléments de nature à rendre plausible la péjoration de son état de santé ; la Dresse Q.________ et U.________ font état d’une intelligence limite (QIT 76), d’un fonctionnement limite de la personnalité ainsi que d’une atteinte organique supposée puis confirmée à l’examen neuropsychologique (difficultés de mémoire verbale à court terme, difficultés de mémoire de travail et un fléchissement exécutif). Le recourant s’estime ainsi en incapacité de poursuivre ou reprendre l’exercice d’une activité indépendante telle qu’il l’exerçait précédemment voire éventuellement ne</w:t>
      </w:r>
    </w:p>
    <w:p>
      <w:r>
        <w:t>- 28 - plus bénéficier d’aucune capacité de travail même dans une activité davantage adaptée à son état de santé ; il soutient qu’il apparaît hautement vraisemblable qu’il existe une origine cérébrale organique à la base de son trouble psychique et que ce n’est qu’une fois cette éventuelle atteinte mise en évidence qu’il sera possible de se déterminer en toute connaissance de cause sur son droit à la rente. Suivant les Drs K.________ et H.________ du SMR, l’OAI est d’un avis opposé à celui du recourant ; l’intimé considère d’une part que les affections à la santé d’intelligence limite et de fonctionnement limite de la personnalité ont déjà été relevées et prises en compte par les experts dans leurs expertises psychiatriques de février 2010 et septembre 2011. Il avance d’autre part que si un examen neuropsychologique a pu permettre de suspecter une origine organique, un tel examen aussi complet soit-il ne permet en aucun cas de la confirmer ; dans leur avis du 6 mai 2014, les médecins du SMR reprochent ainsi aux psychiatres traitants de ne pas avoir ordonné d’examens plus spécifiques tels un électro- encéphalogramme (EEG) ou une imagerie par résonance magnétique (IRM), seuls à même d’éventuellement confirmer la présence d’une atteinte cérébrale organique chez le recourant. Les Drs K.________ et H.________ ajoutent que quelque puissent être les déficits constatés par un EEG ou une IRM, il serait de toute manière impossible d’établir que ces atteintes étaient présentes au moment de la décision querellée. L’OAI estime par conséquent que la mise en œuvre de mesures d’instruction complémentaires à l’expertise psychiatrique du 23 septembre 2011 du Dr G.________ et A.________ ne se justifie pas. a) Après avoir notamment pris connaissance du fait qu’il avait été annoncé depuis octobre 2012 que des examens neuropsychologiques allaient être effectués par les médecins traitants au début de l’année 2013 afin d’expliquer l’état psychique invalidant de l’assuré sur la durée, dans un avis médical « audition » du 22 novembre 2012, le Dr K.________ – suivi dans les faits par l’intimé qui a rendu la décision attaquée le 23 avril 2013 – affirmait que les tests neuropsychologiques en question n’étaient pas aptes à décrire une situation qui prévalait dans le passé (« Des examens</w:t>
      </w:r>
    </w:p>
    <w:p>
      <w:r>
        <w:t>- 29 - faits en 2013 ne peuvent pas avoir une portée rétrospective ») de sorte qu’il n’était pas nécessaire d’en attendre les résultats pour pouvoir se déterminer. C’est uniquement après leur réalisation que ce même médecin du SMR relève que si ces examens neuropsychologiques permettent de suspecter une origine organique, il y a cependant lieu d’être plus spécifique sur l’origine organique des déficits constatés ; à suivre les Drs K.________ et H.________ (cf. leur avis médical SMR du 6 mai 2014), pour objectiver, le cas échéant, une atteinte invalidante, un EEG ou une IRM s’avèrent devoir être mis en oeuvre. L’OAI retient ainsi que n’ayant pas effectué de tels examens, le recourant doit en être pénalisé par le rejet de son recours. A l’instar du recourant, on constate que la position de l’intimé n’est pas défendable. Il n’est en effet pas possible à l’Office AI de reprocher a posteriori au recourant des manquements dans les examens réalisés par ses médecins sur l’origine organique de son état de santé psychique alors même qu’il ressort des explications du SMR de novembre 2012 que les examens neuropsychologiques envisagés au début 2013 étaient considérés comme étant inutiles dans le cas particulier. Pour que la position de l’OAI se tienne, les médecins du SMR auraient dû rendre attentif l’intimé, en novembre 2012 déjà, à l’importance des résultats des examens envisagés par les psychiatres traitants et notamment quant au besoin d’un EEG ou d’une IRM du recourant. Or, tel n’a pas été le cas en l’espèce. De plus, et contrairement à ce qu’en dit l’intimé, le complément d’expertise du 23 septembre 2011 du Dr G.________ et A.________ est par ailleurs peu probant (sur la notion de valeur probante d’un rapport médical, cf. consid. 6b supra) ; le versant psychotique de l’assuré relevé en février 2010 par le Dr G.________ et A.________ n’est plus mentionné dans leur complément du 23 septembre 2011 alors que les autres médecins le relèvent (cf. le rapport du 24 mars 2010 des Drs T.________ et J.________, le rapport du 22 juin 2010 du Dr W.________ et B.________, le rapport du 8 avril 2011 de la Dresse Q.________ et B.________ ainsi que les rapports des 25 février 2011 et 26 octobre 2012 de la Dresse P.________). Au surplus, tous les autres médecins s’accordent sur le caractère secondaire (et non pas primaire) de la dépendance alcoolique du</w:t>
      </w:r>
    </w:p>
    <w:p>
      <w:r>
        <w:t>- 30 - recourant, alors que le Dr G.________ et A.________ le déclarent « en grande partie primaire » sans toutefois l’étayer. De manière générale, le complément d’expertise de septembre 2011 peine à convaincre. En février 2010, les experts concluent à une incapacité de travail totale liée à des facteurs inhérents à la personnalité de l’assuré ; ils relèvent depuis l’été 2009, une évolution sur un mode très régressif et apragmatique avec un sujet en proie à des manifestations anxieuses et qui semble très limité intellectuellement (cf. rapport d’expertise psychiatrique du 10 février 2010 du Dr G.________ et A.________, p. 20). Environ une année et demi plus tard, ces mêmes experts observent une symptomatologie dépressive de gravité légère tout comme la symptomatologie anxieuse (cf. complément d’expertise psychiatrique du 23 septembre 2011 du Dr G.________ et A.________, p. 14). Or, l’unique explication fournie en lien avec le changement précité se base, à dires d’experts, sur une amélioration progressive de l’état psychique du recourant consécutive à son hospitalisation du 3 au 22 février 2010 (cf. complément d’expertise psychiatrique du 23 septembre 2011 du Dr G.________ et A.________, p. 16), ceci malgré une non-observance au traitement anti-dépresseur mis en œuvre (cf. complément d’expertise psychiatrique du 23 septembre 2011 du Dr G.________ et A.________, p. 14). Or, l’hospitalisation en question l’a été sur un mode volontaire et principalement pour un sevrage alcoolique de l’assuré avec cure de désintoxication (cf. rapport du 17 février 2010 de la Dresse P.________). Les explications des experts emportent d’autant moins la conviction qu’elles se fondent sur l’appréciation du 8 avril 2011 de la Dresse Q.________ et B.________, lesquels spécialistes estimaient quant à eux que leur patient présentait toujours une incapacité de travail totale de durée indéterminée et évoquaient une hypothétique récupération les années suivantes en proposant une réévaluation au début 2012. Outre l’absence d’une explication objective des experts en lien avec l’évolution clinique favorable évoquée de la symptomatologie psychiatrique par rapport à leur précédente expertise, on doit également admettre avec le recourant que l’avis de ses médecins traitants diverge du Dr G.________ et A.________ en ce qui concerne l’évaluation de la capacité de travail. Ainsi, dans leur rapport du 22 juin 2010, le Dr W.________ et B.________ retiennent une incapacité de travailler à 100% pour une durée</w:t>
      </w:r>
    </w:p>
    <w:p>
      <w:r>
        <w:t>- 31 - indéterminée en raison des pathologies psychiatriques invalidantes du recourant. Le 16 février 2012, la Dresse P.________ certifie toujours traiter l’assuré et ceci pour une durée indéterminée. Mentionnant de fréquentes fluctuations de l’état thymique ainsi qu’une péjoration générale de l’état de santé de son patient depuis février 2011, cette psychiatre atteste, le 26 octobre 2012, une incapacité de travailler à 100% depuis avril 2009 à cause d’un état dépressif récurrent avec de graves troubles de l’humeur, de graves troubles du sommeil et de la concentration, d’idées paranoïdes avec sentiment d’être surveillé et persécuté. Cette évaluation est corroborée par la Dresse Q.________ et U.________ qui précisent que l’assuré présente une pathologie psychiatrique au premier plan (cf. le rapport du 24 février 2012 de la Dresse Q.________ et U.________). En présence d’une atteinte à la santé vraisemblablement ancienne, il paraît peu possible de soutenir à l’instar de l’intimé que les tests psychologiques et neuropsychologiques réalisés par les médecins traitants au début 2013 ne sauraient avoir une portée rétrospective. Il n’existe en l’état aucun élément médical au dossier permettant de retenir que l’atteinte cérébrale organique suspectée soit postérieure ou antérieure à la décision litigieuse du 23 avril 2013. b) L’OAI soutient que le fonctionnement intellectuel limité invoqué le 22 octobre 2013 par les psychiatres traitants représente un aspect ayant été pris en compte dans le cadre de la rédaction du rapport d’expertise du Dr G.________ et A.________ daté du 10 février 2010 ainsi que dans leur complément du 23 septembre 2011. Or, l’aspect mental ne saurait être négligé dans le cas particulier. Il est en effet admis que la quantification exacte du quotient intellectuel (QI) peut avoir un caractère invalidant (cf. TFA I 642/2004 du 6 décembre 2005, consid. 3.2 et les références citées; TF 9C_198/2011 du</w:t>
      </w:r>
    </w:p>
    <w:p>
      <w:r>
        <w:rPr>
          <w:b/>
        </w:rPr>
        <w:t>E. 11</w:t>
      </w:r>
    </w:p>
    <w:p>
      <w:r>
        <w:t>novembre 2011, consid. 6.2). Ainsi, selon le chiffre 1011 de la Circulaire sur l’invalidité et l’impotence dans l’assurance-invalidité (CIIAI) édictée par l’Office Fédéral des Assurances Sociales (ci-après : l’OFAS), toute diminution des facultés intellectuelles (oligophrénie, imbécillité, idiotie, démence) doit être quantifiée au moyen de séries de tests adéquats. Un</w:t>
      </w:r>
    </w:p>
    <w:p>
      <w:r>
        <w:t>- 32 - quotient intellectuel inférieur à 70 s’accompagne en règle générale d’une capacité de travail réduite. Certes, celui du recourant est légèrement supérieur, mais vu la situation et l’éventuelle atteinte cérébrale organique, il demeure toutefois nécessaire de procéder à une description objective des conséquences sur le comportement, l’activité professionnelle, les actes ordinaires de la vie et l’environnement social, ce d’autant plus que le recourant semble avoir toujours eu, à plus ou moins long terme, des difficultés dans ses activités professionnelles. Or, rien au dossier ne permet de se prononcer en toute connaissance de cause sur l’existence d’un éventuel lien entre le parcours professionnel difficile ainsi que les difficultés administratives du recourant et ses facultés intellectuelles limitées ou une éventuelle atteinte organique. c) Il s’ensuit qu’au vu des opinions contraires d'autres spécialistes auxquelles on peut également attribuer un caractère probant et qui s’avèrent aptes à mettre sérieusement en doute la pertinence des conclusions du complément d’expertise psychiatrique de septembre 2011 du Dr G.________ et A.________, la cause ne saurait être tranchée d’une part en se fondant sur l'un ou sur l'autre de ces avis. D’autre part, au vu de l’absence au dossier de tout élément médical apte à établir quelle est l’atteinte cérébrale organique et si cette atteinte est postérieure ou antérieure à la décision attaquée, la Cour de céans ne peut établir en l’état si le recourant a rendu plausible ou non une aggravation de son état de santé qui aurait perduré au-delà du 7 février 2011. Il apparaît dès lors justifié de renvoyer le dossier de la cause à l'OAI pour complément d'instruction sur le plan médical. Il appartiendra ainsi à l'office intimé d'ordonner qu’il soit procédé à toutes les mesures médicales nécessaires, à savoir une IRM, un EEG ainsi qu’une expertise psychiatrique et neuropsychologique complémentaire conformément à la procédure prévue à l’art. 44 LPGA, permettant notamment de décrire l’atteinte cérébrale organique dont souffrirait R.________ et de préciser son origine et les conséquences de dites atteintes sur sa capacité de travail. Compte tenu de l’issue du litige, la question de savoir si l’intimé était ou non fondé à choisir comme expert un médecin ayant préalablement été consulté par</w:t>
      </w:r>
    </w:p>
    <w:p>
      <w:r>
        <w:t>- 33 - l’assureur perte de gain dans le contexte de droit privé peut demeurer indécise en l’état. 8. 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7 al. 2 TFJAS [Tarif des frais judiciaires et des dépens en matière de droit des assurances sociales du 2 décembre 2008, RSV 173.36.5.2]) et qu'il y a lieu de fixer à 2’500 fr. compte tenu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