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ZD13.019909 vom 24. April 2014</w:t>
      </w:r>
    </w:p>
    <w:p>
      <w:r>
        <w:t>VD Tribunal cantonal, 2014-04-24, FR</w:t>
      </w:r>
    </w:p>
    <w:p>
      <w:r>
        <w:rPr>
          <w:b/>
        </w:rPr>
        <w:t xml:space="preserve">Quelle: </w:t>
      </w:r>
      <w:r>
        <w:t>https://mcp.opencaselaw.ch/entscheid/vd_gerichte_ZD13.019909</w:t>
      </w:r>
    </w:p>
    <w:p>
      <w:r>
        <w:t>FR: VD_GERICHTE ZD13.019909 du 24 avril 2014</w:t>
      </w:r>
    </w:p>
    <w:p>
      <w:r>
        <w:t>IT: VD_GERICHTE ZD13.019909 del 24 aprile 2014</w:t>
      </w:r>
    </w:p>
    <w:p>
      <w:pPr>
        <w:pStyle w:val="Heading2"/>
      </w:pPr>
      <w:r>
        <w:t>Erwägungen</w:t>
      </w:r>
    </w:p>
    <w:p>
      <w:r>
        <w:rPr>
          <w:b/>
        </w:rPr>
        <w:t>E. 2</w:t>
      </w:r>
    </w:p>
    <w:p>
      <w:r>
        <w:t>La question litigieuse porte en l'espèce sur l'évaluation de l'état de santé, respectivement de la capacité de travail résiduelle, de la recourante dès le 1er janvier 2012 et partant, son droit éventuel à la rente AI.</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w:t>
      </w:r>
    </w:p>
    <w:p>
      <w:r>
        <w:t>- 27 -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w:t>
      </w:r>
    </w:p>
    <w:p>
      <w:r>
        <w:t>- 28 - externe devait être mise en oeuvre conformément à l’art. 44 LPGA (cf. ATF 137 V 210 consid. 1.2.1 in fine, avec les références, ainsi que I’ATF 135 V 465 consid. 4.4).</w:t>
      </w:r>
    </w:p>
    <w:p>
      <w:r>
        <w:rPr>
          <w:b/>
        </w:rPr>
        <w:t>E. 5</w:t>
      </w:r>
    </w:p>
    <w:p>
      <w:r>
        <w:t>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b) Selon la jurisprudence, les troubles somatoformes douloureux n'entraînent pas, en règle générale, une limitation de longue durée de la capacité de travail pouvant conduire à une invalidité (cf. ATF 132 V 65 consid. 4.2.1 et 130 V 352 consid. 2.2.3). Il existe une présomption que les troubles somatoformes douloureux ou leurs effets peuvent être surmontés par un effort de volonté raisonnablement exigible (cf. ATF 132 V 65 consid. 4.2.1 et 131 V 49). Le Tribunal fédéral a reconnu qu'il existe des facteurs déterminés qui, par leur intensité et leur constance, rendent la personne</w:t>
      </w:r>
    </w:p>
    <w:p>
      <w:r>
        <w:t>- 29 - incapable de fournir cet effort de volonté, et établi des critères permettant d'apprécier le caractère invalidant de troubles somatoformes douloureux (cf. ATF 132 V 65 consid. 4.2.2, 131 V 49 et 130 V 352 consid. 2.2.3). A cet égard, on retiendra, au premier plan, la présence d'une comorbidité psychiatrique importante par sa gravité, son acuité et sa durée. Peut constituer une telle comorbidité un état dépressif majeur (cf. ATF 130 V 352 consid. 3.3.1 et la référence citée).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sauf à présenter les caractères de sévérité susceptibles de les distinguer sans conteste d'un tel trouble (TF I 87/2006 du 31 janvier 2007, consid. 3.3 in fine et jurisprudence citée).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w:t>
      </w:r>
    </w:p>
    <w:p>
      <w:r>
        <w:t>- 30 -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6. S’agissant de l’évaluation de la capacité de travail de la recourante, on relève à titre liminaire que l’ensemble des médecins consultés s’accordent quant à l’existence d’une incapacité de travail de 100 % pour la période du 1er janvier 2011 au 31 décembre 2011, ce point n’étant dès lors pas contesté. a) Sur le plan orthopédique, il ressort des rapports médicaux des Drs N.________ et G.________ des 17 octobre 2011, respectivement 2 décembre 2011, que jusqu’à l’intervention pratiquée en date du 1er septembre 2011 sous la forme d’une plastie interépineuse en L4-L5, les lombalgies chroniques sur insuffisance segmentaire L4-L5 et L5-S1 n’avaient pas pu être résolues ni par les traitements conservateurs ni par les blocs facettaires précédemment mis en place. Le 1er février 2012, le Dr N.________ retient une capacité de travail résiduelle de 25 % de l’assurée en indiquant cependant la nécessité d’un examen complémentaire par le médecin-conseil de l’AI. Quant à la Dresse G.________, elle retient le 6 février 2012 une capacité de travail de sa patiente de 0 % et indique qu’aucune activité ne peut pour le moment être exercée au vu de l’état psychique et physique de la recourante. Au terme d’un examen bidisciplinaire réalisé le 10 juillet 2012, le Dr Z.________ (spécialiste en médecine physique et rééducation) du SMR pose les diagnostics invalidants de lombalgies chroniques et de troubles dégénératifs débutants avec des limitations fonctionnelles et considère que l’exercice d’une activité semi-sédentaire avec possibilité de varier les positions est possible à un taux de 100%. Il relève en outre un déconditionnement musculaire important de l’assurée alors en cours de traitement (reconditionnement, réentraînement à l’effort et suivi de l’Ecole du dos). Il retient une incapacité de travail totale du 1er janvier 2011 au 31 décembre 2011 et une incapacité de travail de 50 % dans une activité adaptée à</w:t>
      </w:r>
    </w:p>
    <w:p>
      <w:r>
        <w:t>- 31 - partir de janvier 2012, soit trois mois après l’opération du 1er septembre 2011. Le Dr Z.________ indique qu’après la réussite des mesures de reconditionnement musculaire, qui nécessite un minimum de six à neuf mois, la recourante va vraisemblablement récupérer une pleine capacité de travail. Selon la recourante, cet avis est contredit en partie d’une part, par celui du Dr Q.________ (cf. rapports des 13 septembre 2012 et 13 février 2013) et, d’autre part, par celui de la Dresse G.________ (cf. rapport du 15 février 2013). L’intimé a soumis ces nouveaux rapports divergents aux médecins de son SMR qui, le 2 avril 2013, ont retenu que ces appréciations n’étaient pas de nature à rediscuter le bien-fondé de leur conclusions précédentes (à savoir celles du rapport SMR établi le 14 septembre 2012 qui reprennent les résultats de l’examen bidisciplinaire effectué le 10 juillet 2012 au SMR). La recourante soutient quant à elle que les pièces médicales en question sont de nature à faire naître un doute sur l’exactitude des conclusions du rapport d’examen clinique bidisciplinaire du 5 septembre 2012. On observe en premier lieu avec l’intimé que la recourante n’est pas fondée à lui reprocher un défaut d’examen des rappors des Drs Q.________ et G.________ produits postérieurement au rapport d’examen bidisciplinaire du 5 septembre 2012. On constate en effet que lesdits rapports médicaux ont effectivement été examinés en détail par le service médical de l’AI dans son avis SMR du 2 avril 2013. Le fait que les médecins de l’AI n’aient alors ni rencontré ni réexaminé l’assurée n’a aucune incidence sur la valeur de leur travail dès lors que leur rôle consistait uniquement à devoir se déterminer sur des avis contraires émanant de confrères. Partant ces critiques ne constituent en aucun cas des motifs impérieux justifiant de s’écarter des conclusions ressortant de l’avis médical SMR précité. aa) Concernant le rapport du 13 septembre 2012 du Dr Q.________, on relève que si les diagnostics posés se recoupent en grande partie avec ceux retenus par les médecins du SMR le 5 septembre 2012, c’est uniquement leur incidence sur la capacité de travail résiduelle de la recourante qui s’en différencie. Par ailleurs, le Dr Q.________ rejoint les constatations des spécialistes du SMR puisqu’il est également d’avis que,</w:t>
      </w:r>
    </w:p>
    <w:p>
      <w:r>
        <w:t>- 32 - par le suivi d’une réhabilitation intensive, une réduction des limitations rhumatologiques est envisageable. On doit par conséquent admettre que le Dr Q.________ ne fait pas état de constatations médicales distinctes et qui auraient échappé aux médecins du SMR lors de leur examen bidisciplinaire de juillet 2012. Quoique paraisse en dire la recourante, l’appréciation du Dr Q.________ au terme de son rapport du 13 septembre 2012 ne constitue qu’une appréciation distincte d’un même état de fait sur le plan médical que celui observé en son temps par les médecins du SMR. Cet avis n’est dès lors pas à même de rediscuter le bien-fondé du rapport d’examen clinique bidisciplinaire du 5 septembre 2012. On retiendra ainsi par analogie qu’il ne suffit pas qu’un rapport médical donne une appréciation différente des faits ; il faut bien plutôt des éléments de fait nouveaux dont il résulte que les bases de la décision entreprise comporteraient des défauts objectifs (cf. TF 9C_1051/2012 du 21 mai 2013, consid. 4.2.1 qui traite des conditions d’une révision procédurale au sens de l’art. 53 al. 1 LPGA). bb) S’agissant ensuite du rapport médical du 13 février 2013 du Dr Q.________, on observe à l’instar de l’intimé que ce médecin y fait des allusions qui sortent de son champ de compétence, à savoir celui de constatations d’ordre purement médical. Le Dr Q.________ y expose en ce sens que « compte tenu des implications financières auxquelles la famille a dû faire face, je pense malgré tout qu’une rente transitoire aurait été un moyen de participer à l’investissement réalisé, dans un contexte familial lourdement éprouvé ». Le rapport du Dr Q.________ datant de la mi-février 2013 ne permet pas de mettre en doute les conclusions du SMR du 5 septembre 2012. Au contraire, il semble les conforter lorsqu’il retient qu’une activité professionnelle à temps partiel est exigible, mais que depuis le début d’année 2013. cc) Quant au rapport médical établi le 15 février 2013 par la Dresse G.________, il appelle la même réserve quant à ses constatations et conclusions que celle précédemment faite en relation avec le rapport du</w:t>
      </w:r>
    </w:p>
    <w:p>
      <w:r>
        <w:rPr>
          <w:b/>
        </w:rPr>
        <w:t>E. 13</w:t>
      </w:r>
    </w:p>
    <w:p>
      <w:r>
        <w:t>février 2013 du Dr Q.________. Au terme de son analyse de l’état de santé de la recourante, la Dresse G.________ mentionne que « C’est pour cela qu’il me semble nécessaire d’octroyer à Madame J.________ une aide</w:t>
      </w:r>
    </w:p>
    <w:p>
      <w:r>
        <w:t>- 33 - financière sous forme de rente en tout cas pour l’année 2010 et 2011 (…) ». Il y a ainsi à nouveau matière pour la Cour de céans à se distancer de l’avis médical du médecin traitant de la recourante. Pour l’ensemble de ces motifs, le rapport médical du 15 février 2013 de la Dresse G.________ n’est également pas de nature à rediscuter le bien-fondé du rapport d’examen SMR du 5 septembre 2012. b) Sur le plan psychiatrique, au terme d’un examen bidisciplinaire réalisé le 10 juillet 2012, le Dr S.________ (spécialiste en psychiatrie) du SMR ne retient en définitive pas de diagnostic invalidant au sens de l’AI. Il pose uniquement les diagnostics sans répercussion sur la capacité de travail de troubles de l’adaptation, réaction dépressive prolongée (F43.21) et de trouble somatoforme indifférencié (F45.1). Cela s’inscrit en opposition avec le diagnostic d’épisode dépressif réactionnel posé par la Dresse G.________ dans son rapport médical du 2 décembre 2011, ainsi que la péjoration de l’état dépressif rapportée par ce même médecin en date du 6 février 2012. Au terme de son examen clinique, le Dr S.________ constate qu’un seul des critères est rempli chez la recourante, de sorte qu’il n’est pas possible de retenir un épisode dépressif caractérisé. De plus, excepté le critère d’une idéation suicidaire passive fluctuant, ce psychiatre observe que tous les autres critères mineurs de la dépression sont absents. Il ne retrouve également aucun des symptômes en faveur d’un syndrome somatique. Constatant l’impact sur le psychique de l’apparition des douleurs lombaires dont est atteinte la recourante, le Dr S.________ pose le diagnostic de trouble de l’adaptation. Face à un tableau de douleurs persistantes qui ne trouvent pas une étiologie physiologique ou psychique, ce psychiatre discute ensuite les critères de sévèrité qui permettent d’apprécier le caractère invalidant de l’affection du trouble somatoforme douloureux (cf. consid. 5b supra). Il relève ainsi que si le cas d’espèce est effectivement constitutif d’une affection chronique s’étendant sur plusieurs années sans rémission durable, l’ensemble des autres critères déterminants n’en sont pas pour autant remplis. C’est pour ces motifs que le Dr S.________ retient au final le diagnostic de trouble somatoforme</w:t>
      </w:r>
    </w:p>
    <w:p>
      <w:r>
        <w:t>- 34 - indifférencié. Il est par ailleurs ici le lieu de relever que les constatations contraires de la Dresse G.________ dans son rapport du 15 février 2013, outre le fait qu’elles ne sauraient déjà être suivies pour les motifs ci-avant mentionnés (cf. consid. 6a/cc), n’émanent pas d’un psychiatre – la Dresse G.________ étant spécialiste en médecine générale – et ne s’appuyent pas lege artis sur les critères d’un système de classification reconnu. Or il s’agit là d’exigences à remplir selon la jurisprudence topique pour la reconnaissance de l’existence d’une atteinte à la santé psychique (cf. consid. 5a supra). c) Il ressort du rapport d’examen bidisciplinaire (rhumatologique et psychiatrique) des Drs Z.________ et S.________ du SMR du 5 septembre 2012 que la recourante présente essentiellement un trouble structurel ostéoarticulaire aggravé par le déconditionnement musculaire, qui est à l’origine d’incapacité de travail dans des activités à forte charge et moyenne physique. Dans une activité semi-sédentaire, avec possibilité de variations des positions, un taux médico-théorique de 100 % est possible. En l’état, vu le déconditionnement musculaire important de l’assurée, elle présente une diminution de rendement de 50 %. Après le reconditionnement musculaire, la réadaptation à l’effort et l’Ecole du dos, il est vraisemblable qu’elle puisse récupérer une pleine capacité de travail dans des activités à caractère semi-sédentaire permettant des variations de positions à sa guise. Ils retiennent une incapacité de travail de 100 % du 1er janvier 2011 au 31 décembre 2011 et une incapacité de travail de 50 % dans une activité adaptée à compter du mois de janvier 2012. Il était par ailleurs vraisemblable que moyennant une prise en charge optimale (réadaptation progressive à l’effort et reconditionnement musculaire), l’intéressée puisse recouvrer une pleine capacité de travail. Ces conclusions ont par ailleurs été reprises par le Dr M.________ du SMR le 14 septembre 2012. Par contre, un rapport de la division de réadaptation de l’OAI a retenu le 28 novembre 2012 que l’assurée présentait une capacité de travail de 50 % dans son activité habituelle et que dans la mesure où celle-ci travaillait à 50 %, elle ne subissait pas de perte économique. Cette appréciation est erronée dans la mesure où les spécialistes du SMR se sont basés sur un taux de 100 %</w:t>
      </w:r>
    </w:p>
    <w:p>
      <w:r>
        <w:t>- 35 - pour retenir une diminution de rendement de 50 %. Il s’ensuit que l’assurée présente une diminution de rendement de 25 % sur un 50 % dans son activité habituelle, qui est adaptée à ses limitations fonctionnelles. Cette appréciation correspond par ailleurs à celle du 1er février 2012 du Dr N.________. Le degré d’invalidité de la recourante aurait ainsi dû être calculé comme il suit : Activité partielle Part Empêchement Degré d’invalidité Active 50 % 25 % 12.50 % Ménagère 50 % 59.25 % 29.65 % Degré d’invalidité 42.15 % Ce taux d’invalidité ouvre le droit à un quart de rente à compter du 1er janvier 2012. Compte tenu de la prémisse erronée retenue par l’OAI, celui-ci n’a pas examiné la possibilité pour la recourante de recouvrer une pleine capacité de travail dans son activité habituelle à 50 % à la suite de la réussite de mesures de reconditionnement et conformément à son obligation de diminuer son dommage. A cet égard, les spécialistes du SMR retiennent qu’au vu du déconditionnement musculaire confirmé par les documents radiologiques à disposition, la réadaptation progressive à l’effort et le reconditionnement musculaire nécessitent un minimum de six à neuf mois, à compter de l’examen clinique SMR du 10 juillet 2012. Quant au Dr Q.________, il constate que ce n’est que depuis le début de l’année 2013 qu’une activité professionnelle à temps partiel pourrait être exigible de la part de la recourante. La Dresse G.________ atteste pour sa part une incapacité de travail totale jusqu’au 31 décembre 2012 en tout cas et constate que l’assurée a fait un énorme effort de musculation et de reconditionnement du dos durant l’année 2012, que ces efforts ont porté leurs fruits, étant donné qu’elle est beaucoup moins algique et qu’elle a pu renoncer à fin 2012 au Targin®, relevant par contre qu’un essai d’arrêt du Saroten® s’était soldé par un échec. Le Dr Q.________ fait également mention d’une</w:t>
      </w:r>
    </w:p>
    <w:p>
      <w:r>
        <w:t>- 36 - rééducation récente après des infiltrations, permettant de diminuer l’intensité des douleurs et en même temps de bénéficier d’une mobilisation active en piscine, parallèlement à un reconditionnement musculaire et un traitement antalgique (rapports des 13 septembre 2012 et 13 février 2013). Il s’ensuit que s’il est établi que la recourante présente un taux d’invalidité lui ouvrant le droit à un quart de rente à compter du 1er janvier 2012, la Cour de céans ne peut déterminer, à défaut d’instruction médicale sur ces questions, si les mesures de reconditionnement entreprises par la recourante lui ont permis d’améliorer sa capacité de travail et le cas échéant à partir de quelle date. d)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w:t>
      </w:r>
    </w:p>
    <w:p>
      <w:r>
        <w:t>- 37 - Au vu des circonstances du cas d'espèce, il apparaît justifié de renvoyer le dossier à l'OAI pour complément d'instruction sur le plan médical. Il appartiendra à l'office intimé soit de faire convoquer l'assurée par les médecins du SMR, soit d'ordonner une expertise – rhumatologique et psychiatrique – auprès d'un expert indépendant (art. 44 LPGA). 7. En définitive, le recours doit être admis, la décision attaquée annulée et la cause renvoyée à l’OAI pour qu’il rende une nouvelle décision après avoir procédé à un complément d’instruction conformément aux considérants du présent arrêt.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La recourante, qui obtient gain de cause avec le concours d’un mandataire professionnel, a droit à des dépens dont il convient d’arrêter le montant à 1'800 fr. TVA comprise, à la charge de l’OAI (art. 61 let. g LPGA ; 55 LPA-VD).</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