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ZD13.017902 vom 30. Oktober 2014</w:t>
      </w:r>
    </w:p>
    <w:p>
      <w:r>
        <w:t>VD Tribunal cantonal, 2014-10-30, FR</w:t>
      </w:r>
    </w:p>
    <w:p>
      <w:r>
        <w:rPr>
          <w:b/>
        </w:rPr>
        <w:t xml:space="preserve">Quelle: </w:t>
      </w:r>
      <w:r>
        <w:t>https://mcp.opencaselaw.ch/entscheid/vd_gerichte_ZD13.017902</w:t>
      </w:r>
    </w:p>
    <w:p>
      <w:r>
        <w:t>FR: VD_GERICHTE ZD13.017902 du 30 octobre 2014</w:t>
      </w:r>
    </w:p>
    <w:p>
      <w:r>
        <w:t>IT: VD_GERICHTE ZD13.017902 del 30 ottobre 2014</w:t>
      </w:r>
    </w:p>
    <w:p>
      <w:pPr>
        <w:pStyle w:val="Heading2"/>
      </w:pPr>
      <w:r>
        <w:t>Erwägungen</w:t>
      </w:r>
    </w:p>
    <w:p>
      <w:r>
        <w:rPr>
          <w:b/>
        </w:rPr>
        <w:t>E. 3</w:t>
      </w:r>
    </w:p>
    <w:p>
      <w:r>
        <w:t>Dans un second moyen, le recourant reproche à l’OAI d'avoir supprimé sa rente sans avoir mis en oeuvre des investigations médicales</w:t>
      </w:r>
    </w:p>
    <w:p>
      <w:r>
        <w:t>- 17 - complémentaires pour déterminer sa capacité de travail dans une activité adaptée.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demie-rente s'il est invalide à 50% au moins, à trois-quarts de rente s'il est invalide à 60% au moins et à une rente entière s'il est invalide à 70% au moins.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ainsi</w:t>
      </w:r>
    </w:p>
    <w:p>
      <w:r>
        <w:t>- 18 -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 I 562/2006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et 125 V 351 consid. 3a; TF 9C_22/2011 du 16 mai 2011 consid. 5).</w:t>
      </w:r>
    </w:p>
    <w:p>
      <w:r>
        <w:rPr>
          <w:b/>
        </w:rPr>
        <w:t>E. 4</w:t>
      </w:r>
    </w:p>
    <w:p>
      <w:r>
        <w:t>En l’espèce, l’intimé se fonde sur les rapports médicaux des 1er juin 2010 et 13 mars 2012 du Dr C.________ pour constater que la capacité de travail du recourant est entière dans une activité adaptée dès</w:t>
      </w:r>
    </w:p>
    <w:p>
      <w:r>
        <w:t>- 19 - le 1er juin 2010. Dans son rapport du 1er juin 2010, le Dr C.________ notait qu’une activité uniquement en position assise pouvait être exigible à temps complet. Il s’est limité à confirmer ce constat dans son rapport du 13 mars 2012 en estimant que le recourant pourrait exercer à 100% une activité en position assise. Or, dans son rapport médical adressé le 17 février 2010 à l’OAI, ce médecin indiquait a contrario qu’une activité uniquement en position assise n’était pas exigible tandis qu’une activité uniquement en position debout pouvait l’être à hauteur de quatre heures par jour. L’état de santé du recourant n’avait pourtant pas subi de modification entre janvier et juin 2010 comme le médecin le mentionnait dans son rapport du 1er juin 2010. En outre, il était précisé que la date du dernier contrôle était le 1er février 2010. On peut ainsi constater qu’en établissant son rapport du 1er juin 2010, le médecin n’avait pas revu le recourant depuis son précédent rapport. Quant au rapport du 13 mars 2012, il n’a pas davantage été établi à la suite d’une consultation du recourant. En effet, le Dr C.________ y indiquait que le recourant venait à sa consultation rarement (une à deux fois par an), précisant que lors de sa dernière consultation, le recourant l’informait qu’il était en train d’ouvrir un salon de coiffure à [...], ce qui remonte à la période précédent le mois de juillet 2011. Au vu de ces éléments, force est de constater que les rapports médicaux du Dr C.________ – sur lesquels se base l’intimé pour supprimer la rente du recourant – ne se fondent pas sur des examens complets et sont de surcroît contradictoires. De plus, aucun élément au dossier ne permet de confirmer ou d’appuyer le rapport du 1er juin 2010 (ou celui du 13 mars 2012) plutôt que celui du 17 février 2010 quant aux activités exigibles. Par ailleurs, le Dr C.________ est spécialiste en médecine interne générale. Selon les pièces au dossier, le recourant a pour la dernière fois été examiné par son médecin spécialiste en orthopédie, le Dr N.________, à l’occasion de son rapport médical du 4 février 2000 – soit plus de dix ans avant la décision litigieuse – lequel ne se prononçait aucunement sur une éventuelle capacité de travail dans une activité</w:t>
      </w:r>
    </w:p>
    <w:p>
      <w:r>
        <w:t>- 20 - adaptée. Le recourant n’a dès lors plus fait l’objet d’un examen sur le plan orthopédique depuis le 4 février 2000. Force est donc de constater que le point litigieux, à savoir la capacité de travail dans une activité adaptée, n’a pas fait l’objet d’une étude circonstanciée. C’est d’ailleurs ce qu’avait relevé le Dr L.________ du SMR dans son avis du 8 septembre 2010. Ce médecin avait en outre retenu une capacité de travail de 50% dans une activité adaptée, se fondant sur le rapport médical du 17 février 2010 du Dr C.________, tandis que son collègue du SMR, le Dr H.________, s’est basé sur le rapport médical du 1er juin 2010 du Dr C.________, estimant que la capacité de travail de l’intéressé était complète (cf. avis médical du 13 octobre 2011). Malgré qu’ils aient tous deux eu connaissance des deux rapports médicaux de 2010 du Dr C.________, les médecins du SMR n’ont pourtant pas étayé leurs conclusions, ni la raison de leur divergence. Les rapports médicaux du Dr C.________ n’avaient ainsi pas valeur probante au sens de la jurisprudence précitée (cf. consid. 3c supra) et ne pouvaient servir de seule base d’appréciation de l’état de santé somatique du recourant, en particulier en ce qui concerne sa capacité de travail dans une activité adaptée. Aussi, faute de disposer d'un avis ayant pleine valeur probante, l’intimé aurait du procéder à une instruction complémentaire sur le plan orthopédique en confiant une expertise à un spécialiste en ce domaine.</w:t>
      </w:r>
    </w:p>
    <w:p>
      <w:r>
        <w:rPr>
          <w:b/>
        </w:rPr>
        <w:t>E. 5</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w:t>
      </w:r>
    </w:p>
    <w:p>
      <w:r>
        <w:t>- 21 -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Compte tenu du fait que le cas de l’assuré n’a pas fait l’objet d’un examen sur le plan orthopédique,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lui renvoyer l'affaire pour qu'il en complète l'instruction conformément au considérant 4 ci-dessus, puis rende une nouvelle décision.</w:t>
      </w:r>
    </w:p>
    <w:p>
      <w:r>
        <w:rPr>
          <w:b/>
        </w:rPr>
        <w:t>E. 6</w:t>
      </w:r>
    </w:p>
    <w:p>
      <w:r>
        <w:t>Au vu de ce qui précède, le recours doit être admis, la cause étant renvoyée à l’intimé pour complément d’instruction au sens des considérants. A cette occasion, en fonction du résultat de l'instruction, il appartiendra à l'intimé d’examiner dans quelle mesure le recourant est en mesure de tirer profit de sa capacité de travail et qu'il prenne le cas échéant – sous réserve de la réalisation des conditions matérielles du droit à la prestation et de la collaboration de l'intéressé (art. 21 al. 4 LPGA) – les mesures nécessaires à la réintégration de celui-ci dans le circuit économique. Ce n'est qu'à la suite de cet examen que l’intimé pourra statuer définitivement sur la révision de la rente d'invalidité. Par conséquent, il est à ce stade prématuré de se prononcer sur les aspects économiques du droit à la rente, en particulier sur la comparaison des revenus à laquelle l'intimé a procédé, étant donné le renvoi de la cause.</w:t>
      </w:r>
    </w:p>
    <w:p>
      <w:r>
        <w:t>- 22 -</w:t>
      </w:r>
    </w:p>
    <w:p>
      <w:r>
        <w:rPr>
          <w:b/>
        </w:rPr>
        <w:t>E. 7</w:t>
      </w:r>
    </w:p>
    <w:p>
      <w:r>
        <w:t>Obtenant gain de cause, le recourant qui est assisté d'un mandataire professionnel a droit à l'octroi de dépens (art. 55 LPA-VD et art. 61 let. g LPGA). Compte tenu de l’ampleur de la procédure et de la difficulté de la cause, il convient de fixer cette indemnité à 2’500 francs. En dérogation à l’art. 61 let. a LPGA, la procédure de recours en matière de contestations portant sur l’octroi ou le refus de prestations de l’assurance-invalidité devant le tribunal cantonal des assurance est soumise à des frais de justice, fixés en fonction de la charge liée à la procédure (art. 69 al. 1bis LAI). En l’espèce, compte tenu de l’ampleur de la procédure, ils doivent être arrêtés à 400 fr. et mis à la charge de l’OAI,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