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ZD13.015303 vom 24. Februar 2014</w:t>
      </w:r>
    </w:p>
    <w:p>
      <w:r>
        <w:t>VD Tribunal cantonal, 2014-02-24, FR</w:t>
      </w:r>
    </w:p>
    <w:p>
      <w:r>
        <w:rPr>
          <w:b/>
        </w:rPr>
        <w:t xml:space="preserve">Quelle: </w:t>
      </w:r>
      <w:r>
        <w:t>https://mcp.opencaselaw.ch/entscheid/vd_gerichte_ZD13.015303</w:t>
      </w:r>
    </w:p>
    <w:p>
      <w:r>
        <w:t>FR: VD_GERICHTE ZD13.015303 du 24 février 2014</w:t>
      </w:r>
    </w:p>
    <w:p>
      <w:r>
        <w:t>IT: VD_GERICHTE ZD13.015303 del 24 febbraio 2014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le sort du recours, l’assuré, ayant procédé avec l’assistance d’un mandataire autorisé, peut se voir accorder des dépens, qu’il convient de fixer à 2’000 fr. (art. 61 let. g LPGA et 55 LPA-VD).</w:t>
      </w:r>
    </w:p>
    <w:p>
      <w:r>
        <w:t>- 22 - Succombant, l’office intimé supportera les frais judiciaires arrêtés à 400 fr., conformément à l’art. 69 al. 1bis LAI.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