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ZD13.014597 vom 27. November 2014</w:t>
      </w:r>
    </w:p>
    <w:p>
      <w:r>
        <w:t>VD Tribunal cantonal, 2014-11-27, FR</w:t>
      </w:r>
    </w:p>
    <w:p>
      <w:r>
        <w:rPr>
          <w:b/>
        </w:rPr>
        <w:t xml:space="preserve">Quelle: </w:t>
      </w:r>
      <w:r>
        <w:t>https://mcp.opencaselaw.ch/entscheid/vd_gerichte_ZD13.014597</w:t>
      </w:r>
    </w:p>
    <w:p>
      <w:r>
        <w:t>FR: VD_GERICHTE ZD13.014597 du 27 novembre 2014</w:t>
      </w:r>
    </w:p>
    <w:p>
      <w:r>
        <w:t>IT: VD_GERICHTE ZD13.014597 del 27 novembre 2014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février 2013, la cause lui étant renvoyée pour complément d’instruction et nouvelle décision dans le sens des considérants.</w:t>
      </w:r>
    </w:p>
    <w:p>
      <w:r>
        <w:t>- 22 - 6. a) En dérogation à l’art. 61 let. a LPGA, la procédure de recours en matière de contestations portant sur l’octroi ou le refus de prestations de l’AI devant le tribunal cantonal des assurances est soumise à des frais de justice (art. 69 al. 1bis LAI). Succombant, l’office intimé supportera les frais judiciaires arrêtés à 400 fr. (art. 49 al. 1 LPA-VD). b) Le recourant obtient certes gain de cause ; cependant, dès lors qu’il n’est pas représenté par un mandataire professionnel et que les éléments au dossier ne font pas état d’une situation exceptionnelle, il n’y a pas lieu de lui allouer de dépens (cf. art. 61 let. g LPGA et 55 LPA-VD ; ATF 110 V 134 consid. 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