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ZD13.012447 vom 7. November 2013</w:t>
      </w:r>
    </w:p>
    <w:p>
      <w:r>
        <w:t>VD Tribunal cantonal, 2013-11-07, FR</w:t>
      </w:r>
    </w:p>
    <w:p>
      <w:r>
        <w:rPr>
          <w:b/>
        </w:rPr>
        <w:t xml:space="preserve">Quelle: </w:t>
      </w:r>
      <w:r>
        <w:t>https://mcp.opencaselaw.ch/entscheid/vd_gerichte_ZD13.012447</w:t>
      </w:r>
    </w:p>
    <w:p>
      <w:r>
        <w:t>FR: VD_GERICHTE ZD13.012447 du 7 novembre 2013</w:t>
      </w:r>
    </w:p>
    <w:p>
      <w:r>
        <w:t>IT: VD_GERICHTE ZD13.012447 del 7 novembre 2013</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w:t>
      </w:r>
    </w:p>
    <w:p>
      <w:r>
        <w:t>- 9 - ensemble mais se borne à examiner les aspects de cette décision que le recourant a critiqués, exception faite lorsque les points non critiqués ont des liens étroits avec la question litigieuse (ATF 125 V 413 consid. 2c; 110 V 48 consid. 4a; RCC 1985 p. 53). b) En l’espèce, est litigieuse la question de savoir si le retrait de sa demande de prestations en matière d’assurance-invalidité par l’assurée est opérant.</w:t>
      </w:r>
    </w:p>
    <w:p>
      <w:r>
        <w:rPr>
          <w:b/>
        </w:rPr>
        <w:t>E. 3</w:t>
      </w:r>
    </w:p>
    <w:p>
      <w:r>
        <w:t>a) L’OAl s’est fondé sur l’art. 23 LPGA pour dénier à la recourante tout droit au retrait de sa demande de prestations. Selon cette disposition légale, l’ayant droit peut renoncer à des prestations qui lui sont dues (al. 1). Par ailleurs, la renonciation et la révocation sont nulles lorsqu’elles sont préjudiciables aux intérêts d’autres personnes, d’institutions d’assurance ou d’assistance ou lorsqu’elles tendent à éluder des dispositions légales (al. 2). Or, une renonciation suppose, par définition, que l’assurée ait un droit indubitable à des prestations. Il faut donc que les prestations soient connues; une personne ne peut pas renoncer à l’avance à d’éventuelles prestations futures, l’objet et l’étendue des prestations auxquelles il est renoncé devant être définis au moment de la renonciation (Ghislaine Frésard-Felley, De la renonciation aux prestations d’assurance sociale [art. 23 LPGA/ATSG], HAVE 5/2002, p. 337; cf. aussi Thomas Locher, Grundriss des Sozialversicherungsrechts 3e éd., 2003, n° 17 p. 275). En l’espèce, à la date de la « renonciation », soit le 5 février 2013, l’intimé n’avait pas encore statué sur le droit de la recourante à des prestations de l’assurance-invalidité, l’instruction de la demande du 27 décembre 2010 étant toujours en cours. Les prestations éventuellement dues à la recourante n’étaient par conséquent pas connues et ne pouvaient faire l’objet d’une renonciation au sens de l’art. 23 LPGA. La déclaration du 5 février 2013 ne correspond donc pas à une renonciation à des prestations d’assurance, mais constitue un retrait de la demande de prestations. b) Dans un arrêt du 21 mai 2013 (9C_1051/2012), le Tribunal fédéral a observé que ni la LPGA, ni la LAI ne comprennent de disposition</w:t>
      </w:r>
    </w:p>
    <w:p>
      <w:r>
        <w:t>- 10 - portant sur le point de savoir si la demande de prestations d’assurance sociale peut être retirée, et le cas échéant, à quelles conditions. Selon un avis de la doctrine, la possibilité de retirer (sans restriction, ni condition) la demande de prestations avant la décision de l’assureur social découle de la maxime de disposition régissant l’assurance-invalidité (cf. art. 29 al. 1 LPGA), selon laquelle l’exercice du droit aux prestations suppose que celui qui y prétend s’annonce à l’assureur (Thomas Locher, loc. cit.). La maxime de disposition ne s’applique toutefois pas de manière illimitée, dans la mesure où la demande de prestations présentée par l’assuré vaut pour tous les types de prestations qui pourraient entrer en considération en relation avec l’atteinte à la santé annoncée et que l’assurance-invalidité peut aussi octroyer des prestations différentes de celles sollicitées par l’assuré. Si l’application de la maxime de disposition permet donc d’admettre que le retrait de la demande de prestations est en principe admissible, elle ne suffit cependant pas à renoncer à assortir de toute condition ou exigence l’exercice du droit de retrait. Le cas de figure du retrait de la demande de prestations doit encore être distingué de celui où l’assuré s’abstient de présenter une demande de prestations. Lorsque l’assuré ne s’annonce pas à l’assurance-invalidité pour solliciter des prestations, les tiers auxquels des intérêts dignes de protection ont été reconnus – à savoir, les autorités ou tiers qui assistent régulièrement l’assuré ou prennent soin de lui de manière permanente – ont toutefois le droit de présenter une demande pour l’assuré, conformément à l’art. 66 al. 1 RAI ([règlement fédéral du 17 janvier 1961 sur l'assurance-invalidité; RS 831.201]; voir aussi, depuis le 1er janvier 2008, le cercle de personnes autorisées à faire une communication relative à la détection précoce [art. 3b al. 2 LAI]). Or, en cas de retrait de la demande de prestations, les intérêts dignes de protection de l’assuré lui-même ou de ces tiers peuvent être touchés. Il convient dès lors d’assortir le retrait de la demande de prestations à la condition que les intérêts légitimes de l’assuré ou d’autres personnes concernées ne s’y opposent pas (cf. ch. 1024 de la Circulaire de l’Office fédéral des assurances sociales sur la procédure dans l’assurance- invalidité [CPAI; version valable dès le 1er janvier 2010, applicable en l’espèce]; cf. ATF 101 V 261 consid. 2 p. 265; Michel Valterio, Droit de</w:t>
      </w:r>
    </w:p>
    <w:p>
      <w:r>
        <w:t>- 11 - l’assurance-vieillesse et survivants [AVS] et de l’assurance-invalidité [AI], 2011, p. 782 n° 2857 s.). La situation est en effet semblable, du point de vue des intérêts en jeu, à celle d’une renonciation, de sorte que les conditions de l’art. 23 al. 2 LPGA sont applicables par analogie au retrait de la demande de prestations (Urs Müller, Das Verwaltungsverfahren in der Invalidenversicherung, 2010, p. 468 n° 2399). La déclaration de retrait doit par ailleurs revêtir la forme écrite et l’organe d’exécution de l’assurance-invalidité en accuser réception par écrit (cf. pour tout ce qui précède l'arrêt cité du Tribunal fédéral 9C_1051/2012 consid. 3.1 et 3.2; ch. 1024 de la CPAI). c) Il convient en conséquence de déterminer si le retrait de sa demande par l’assurée porte préjudice aux intérêts d’autres personnes, d’institutions d’assurance ou d’assistance.</w:t>
      </w:r>
    </w:p>
    <w:p>
      <w:r>
        <w:rPr>
          <w:b/>
        </w:rPr>
        <w:t>E. 4</w:t>
      </w:r>
    </w:p>
    <w:p>
      <w:r>
        <w:t>La recourante bénéficiait à l’époque de sa demande de prestations du revenu d’insertion via le Centre social intercommunal, à Vevey. Ensuite, soit dès le 1er avril 2011, elle a perçu des prestations d’aide financière de l’Hospice général. Cette aide avait toujours cours à la date du 30 septembre 2013. a) L’art. 22 al. 1 LPGA prévoit que le droit aux prestations des assureurs sociaux est incessible et que toute cession ou mise en gage est nulle. L’alinéa 2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Selon l’art. 85bis al. 1 RAI, les employeurs, les institutions de prévoyance professionnelle, les assurances-maladie, les organismes d’assistance publics ou privés ou les assurances en responsabilité civile ayant leur siège en Suisse qui, en vue de l’octroi d’une rente de l’assurance- invalidité, ont fait une avance, peuvent exiger qu’on leur verse l’arriéré de cette rente en compensation de leur avance et jusqu’à concurrence de celle-ci. Selon l’alinéa 2, lettre b, de cette disposition, sont considérées</w:t>
      </w:r>
    </w:p>
    <w:p>
      <w:r>
        <w:t>- 12 - comme une avance les prestations versées contractuellement ou légalement, pour autant que le droit au remboursement, en cas de paiement d’une rente, puisse être déduit sans équivoque du contrat ou de la loi (ATF 136 V 381 consid. 4.1 p. 386 et 135 V 2 consid. 5.2.2 p. 7). Pour pouvoir parler d’un droit non équivoque au remboursement à l’égard de l’assurance-invalidité au sens de l’art. 85bis al. 2 let. b RAI, il faut que le droit direct au remboursement découle expressément d’une norme légale ou contractuelle (ATF 136 V 381 consid. 5.1.1 p. 388; 135 V 2 consid. 6.1.2 p. 9; 133 V 14 consid. 8.3 p. 21; TFA I 282/99 du 10 mai 2000 consid. 5b, in Pratique VSI 4/2002 p. 163, et I 31/00 du 5 octobre 2000 consid. 3a/bb, in Pratique VSI 4/2003 p. 265; voir également TFA I 428/05 du 18 avril 2006 consid. 4.4.2; I 632/03 du 9 décembre 2005 consid. 3.3.2 et I 317/03 du 11 octobre 2004 consid. 5.2). b) Selon la loi genevoise sur l’insertion et l’aide sociale individuelle (ci-après: LIASI), la personne majeure qui n’est pas en mesure de subvenir à son entretien ou à celui des membres de la famille dont il a la charge a droit à des prestations d’aide financière (art. 8 al. 1). Ces prestations ne sont pas remboursables, sous réserve des art. 12 al. 2 et 36 à 41 de la loi (art. 8 al. 2 LIASI). L’art. 37 LIASI dispose que si les prestations d’aide financière prévues par la présente loi ont été accordées à titre d’avances, dans l’attente de prestations sociales ou d’assurances sociales, les prestations d’aide financière sont remboursables, à concurrence du montant versé par l’Hospice général durant la période d’attente, dès l’octroi desdites prestations sociales ou d’assurances sociales (al. 1). L’Hospice général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Cela étant, dans l’hypothèse où la demande de prestations de la recourante débouchait sur l’octroi d’une rente, due au plus tôt six mois</w:t>
      </w:r>
    </w:p>
    <w:p>
      <w:r>
        <w:t>- 13 - après le dépôt de la demande (art. 29 al. 1 LAI), l’Hospice général, qui a qualité d’organisme d’assistance public, serait tenu d’exiger de I’OAI le versement en sa faveur des rentes dues à titre rétroactif, à concurrence des prestations d’aide sociale avancées par cette institution pendant la période de droit à la rente. Ainsi, l’art. 37 LIASI constitue la norme légale fondant un droit de l’Hospice général au remboursement à l’égard de l’assurance-invalidité au sens de l’art. 85bis al. 2 let. b RAI. En retirant sa demande de prestations, la recourante empêche l’Hospice général d’exercer son droit au remboursement en cas d’octroi d’une rente et porte ainsi préjudice aux intérêts de cette institution d’assistance, d’autant plus que l’exercice du droit au remboursement est impératif et non facultatif. Il en irait de même à l’égard du Centre social intercommunal de Vevey, également organisme d’assistance publique, dans l’hypothèse où le versement d’une rente à titre rétroactif coïnciderait également avec la période d’allocation du revenu d’insertion. En effet, selon l’art. 46 LASV (loi cantonale du 2 décembre 2003 sur l’action sociale vaudoise; RSV 850.051), si des prestations d’assurance (sociales ou privées) sont octroyées rétroactivement, les montants reçus au titre de prestations du revenu d'insertion sont considérés comme des avances et le bénéficiaire est tenu de les restituer (aI. 1 in fine). Par ailleurs, l’autorité ayant octroyé le revenu d'insertion est subrogée dans les droits du bénéficiaire à concurrence des montants versés par elle et peut demander aux assurances concernées que les arrérages des rentes soient versés en ses mains jusqu’à concurrence des prestations allouées (al. 2). c) L’art. 276 CC (code civil suisse du 10 décembre 1907; RS 210) met à la charge des père et mère d’un enfant l’obligation de pourvoir à son entretien. Cette obligation dure en principe jusqu’à la majorité de l’enfant (art. 277 al. 1 CC). Les contributions d’entretien sont dues à l’enfant et sont versées durant sa minorité à son représentant légal ou au parent qui en assume la garde (art. 289 al. 1 CC). Les rentes d’assurances sociales ou d’autres prestations destinées à l’entretien de l’enfant, qui reviennent par la suite au père ou la mère en raison de leur âge ou de leur invalidité et en remplacement du revenu d’une activité, doivent être</w:t>
      </w:r>
    </w:p>
    <w:p>
      <w:r>
        <w:t>- 14 - versées à l’enfant (art. 285 al. 2bis CC). La prétention à la contribution d’entretien passe avec tous les droits qui lui sont rattachés à la collectivité publique lorsque celle-ci assume l’entretien de l’enfant (art. 289 al. 2 CC). Cette disposition prévoit une cession légale de la créance d’entretien à la collectivité publique (art. 166 CO [loi fédérale du 30 mars 1911 complétant le Code civil suisse; RS 220]), lorsque celle-ci assume l’entretien de l’enfant (ATF 133 III 507 consid. 5.2 p. 510; 123 III 161 consid. 4b p. 163 et les références). Dans l’hypothèse de l’octroi d’une rente à la recourante, ses quatre enfants bénéficieraient eux aussi d’une rente (cf. art. 35 LAI et 25 LAVS [loi fédérale du 20 décembre 1946 sur l'assurance-vieillesse et survivants; RS 831.10]). En sa qualité de curateur, étant rappelé que le mandat de curatelle s’étend également au recouvrement de la créance alimentaire des enfants, le Service de la protection des mineurs de Genève serait en droit de prétendre au versement des arriérés de rentes et des rentes à venir dues aux enfants de la recourante. Le placement institutionnel des enfants est par ailleurs pris en charge par ce service, de telle sorte qu’il est également bénéficiaire de la cession légale de la créance d’entretien. Le retrait de la demande de prestations est par conséquent susceptible de porter atteinte au droit des créanciers alimentaires que sont les enfants ainsi qu’à la collectivité publique, cessionnaire de ce droit, représentée en l’occurrence par le Service de protection des mineurs genevois. d) Ainsi, dans la mesure où en retirant sa demande de prestations, la recourante porte potentiellement atteinte aux droits d’autres personnes, ses enfants, ainsi qu’à ceux d’institutions d’assistance, dit retrait doit être considéré comme nul. En conséquence, le recours est rejeté et la décision incidente de I’OAI du 15 mars 2013 confirmée.</w:t>
      </w:r>
    </w:p>
    <w:p>
      <w:r>
        <w:rPr>
          <w:b/>
        </w:rPr>
        <w:t>E. 5</w:t>
      </w:r>
    </w:p>
    <w:p>
      <w:r>
        <w:t>a) Il y a lieu de déroger au principe de la gratuité, la présente procédure incidente étant onéreuse dès lors qu'elle a trait à une contestation portant sur l’octroi ou le refus de prestations au sens de l’art.</w:t>
      </w:r>
    </w:p>
    <w:p>
      <w:r>
        <w:t>- 15 - 69 al. 1 bis LAI (cf. ATF 133 V 441; TF 9C_905/2007 du 15 avril 2008; 9C_639/2011 du 30 août 2012, in SVR 2013 IV n° 2). b) Ainsi, les frais, arrêtés à 200 fr., sont mis à la charge de la recourante déboutée, sans que celle-ci puisse prétendre à l’allocation de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