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ZD13.004279 vom 2. Oktober 2013</w:t>
      </w:r>
    </w:p>
    <w:p>
      <w:r>
        <w:t>VD Tribunal cantonal, 2013-10-02, FR</w:t>
      </w:r>
    </w:p>
    <w:p>
      <w:r>
        <w:rPr>
          <w:b/>
        </w:rPr>
        <w:t xml:space="preserve">Quelle: </w:t>
      </w:r>
      <w:r>
        <w:t>https://mcp.opencaselaw.ch/entscheid/vd_gerichte_ZD13.004279</w:t>
      </w:r>
    </w:p>
    <w:p>
      <w:r>
        <w:t>FR: VD_GERICHTE ZD13.004279 du 2 octobre 2013</w:t>
      </w:r>
    </w:p>
    <w:p>
      <w:r>
        <w:t>IT: VD_GERICHTE ZD13.004279 del 2 ottobre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En l'espèce, le recours a été déposé en temps utile compte tenu des féries (art. 38 al. 4 LPGA)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 sociales du Tribunal cantonal est compétente pour statuer dans la présente cause (art. 93 al. 1 let. a LPA-VD).</w:t>
      </w:r>
    </w:p>
    <w:p>
      <w:r>
        <w:rPr>
          <w:b/>
        </w:rPr>
        <w:t>E. 2</w:t>
      </w:r>
    </w:p>
    <w:p>
      <w:r>
        <w:t>Le litige porte sur l'existence ou non d'une atteinte à la santé invalidante au sens de l'assurance-invalidité.</w:t>
      </w:r>
    </w:p>
    <w:p>
      <w:r>
        <w:rPr>
          <w:b/>
        </w:rPr>
        <w:t>E. 3</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w:t>
      </w:r>
    </w:p>
    <w:p>
      <w:r>
        <w:t>- 8 -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TF 8C_24/2010 du 27 décembre 2010 consid. 2 ; 8C_1034/2010 du 28 juillet 2010 consid. 4.2 et 8C_704/2007 du 9 avril 2008 consid. 2). c)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d)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w:t>
      </w:r>
    </w:p>
    <w:p>
      <w:r>
        <w:t>- 9 - n'est en principe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2bis LAI a valeur probante s'il remplit les exigences requises par la jurisprudence sur le contenu des rapports médicaux rappelées ci-dessus (consid. 3.3.2 non publié de l'ATF 135 V 254 ; TF 9C_500/2011 du 26 mars 2012 consid. 3.1 ; 9C_600/2010 du 21 janvier 2011 consid. 2 ; TF I 573/04 du 10 novembre 2005 consid. 5.2 ; I 523/02 du 28 octobre 2002 consid. 3).</w:t>
      </w:r>
    </w:p>
    <w:p>
      <w:r>
        <w:rPr>
          <w:b/>
        </w:rPr>
        <w:t>E. 4</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w:t>
      </w:r>
    </w:p>
    <w:p>
      <w:r>
        <w:t>- 10 - une maladie ou un accident qui entraîne une atteinte à la santé physique, mentale ou psychique nuisant à la capacité de gain, ou si elle résulte elle- même d'une atteinte à la santé physique, mentale ou psychique qui a valeur de maladie (ATF 124 V 265 consid. 3c et la référence citée ; TF 9C_960/2009 du 24 février 2010 consid. 2.2 ; TF 9C_395/2007 du 15 avril 2008 consid. 2.2 ; TFA I 758/01 du 5 novembre 2002 consid. 1.1). La situation de fait doit faire l'objet d'une appréciation globale incluant aussi bien les causes que les conséquences de la dépendance, ce qui implique de tenir compte d'une éventuelle interaction entre dépendance et comorbidité psychiatrique (TFA I 390/01 du 19 juin 2002 consid.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8C_356/2012 du 11 février 2013 et jurisprudence citée). Lorsqu'une toxicodépendance n'est ni la cause ni la conséquence d'une atteinte à la santé physique ou psychique ayant valeur de maladie, on emploie parfois la terminologie d'affection "primaire", qui n'est pas constitutive d'invalidité au sens de la jurisprudence fédérale (TF 9C_219/2007 du 3 avril 2008).</w:t>
      </w:r>
    </w:p>
    <w:p>
      <w:r>
        <w:rPr>
          <w:b/>
        </w:rPr>
        <w:t>E. 5</w:t>
      </w:r>
    </w:p>
    <w:p>
      <w:r>
        <w:t>En l'espèce, les éléments du dossier ne permettent pas de savoir quel était l'état de santé physique et psychique du recourant avant 2007, soit avant sa prise en charge par le Dr G.________. Plus précisément, il n'y a pas de rapport médical permettant de déterminer quelle affection,</w:t>
      </w:r>
    </w:p>
    <w:p>
      <w:r>
        <w:t>- 11 - de la dépendance ou de l'état dépressif plus particulièrement, est apparue la première. La Dresse H.________ n'a donné aucune indication quant à la date d'apparition de l'épisode dépressif sévère et de la dépendance, et pour cause, celle-ci n'étant consultée que depuis le 22 septembre 2011. Il n'y a en outre pratiquement aucune indication concernant les motifs d'hospitalisation à l'hôpital psychiatrique X.________. Le rapport SMR du 21 septembre 2012 évoque une toxicomanie de type primaire et ancienne et conclut que le trouble dépressif est secondaire à la polytoxicomanie sans pourtant que figure au dossier la moindre indication fiable quant au point de départ de la dépendance. Plus particulièrement, s'il apparaît ressortir du dossier que l'état dépressif existe depuis 2006, aucune pièce ne permet de soutenir que la toxicomanie est antérieure à 2006. Seul le rapport initial de détection précoce, dans lequel sont consignées les déclarations du recourant, mentionne plusieurs évènements survenus en 2006, tels que deuils, atteinte à la santé de la mère du recourant et départ de sa femme avec ses enfants, ce pourquoi il serait "alors tombé dans la drogue". Il est notoire que ce genre d'évènements peut être à l'origine d'un état dépressif, lequel peut entraîner une dépendance. Les déclarations du recourant ne sont cependant confortées par aucun élément de preuve, faute pour l'administration d'avoir instruit sur ce point. De plus, même si l'on pouvait affirmer sur la base du dossier que la toxicomanie était apparue la première, les pièces médicales ne permettent pas de déterminer si elle a provoqué une maladie ou un accident qui entraîne une atteinte psychique nuisant à la capacité de gain au sens de la loi et de la jurisprudence précitée (cf. supra consid. 4). Finalement, il paraît encore utile de relever que le rapport du SMR, sur lequel l'OAI s'est fondé pour prendre sa décision, ne remplit pas les exigences de la jurisprudence pour se voir reconnaître pleine valeur probante (cf. supra consid. 3). En effet, outre le fait que le Dr Q.________, qui se fonde sur le rapport des médecins de la Clinique R.________, affirme que la toxicomanie est primaire, alors que cela ne ressort aucunement dudit rapport, il convient de noter qu'il parle de dépendance tant aux</w:t>
      </w:r>
    </w:p>
    <w:p>
      <w:r>
        <w:t>- 12 - opiacés qu'à l'alcool, alors que cette dernière dépendance n'est mentionnée nulle part au dossier. Le Dr Q.________ n'amène aucun élément pour étayer ces affirmations. De plus, il sied de constater que ce médecin n'est pas psychiatre et que son raisonnement semble provenir d'une discussion qu'il a eue avec un psychiatre du SMR, lequel n'a toutefois pas signé le rapport du Dr Q.________.</w:t>
      </w:r>
    </w:p>
    <w:p>
      <w:r>
        <w:rPr>
          <w:b/>
        </w:rPr>
        <w:t>E. 6</w:t>
      </w:r>
    </w:p>
    <w:p>
      <w:r>
        <w:t>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 Kieser, ATSG- Kommentar, 2e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w:t>
      </w:r>
    </w:p>
    <w:p>
      <w:r>
        <w:t>- 13 -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l'état de fait est incomplet, plus particulièrement sur la question de savoir quand sont apparus la toxicomanie et l'état dépressif et quelle a été leur évolution respective. Il s'agira dès lors d'investiguer plus avant sur l'état de santé du recourant, notamment auprès du Dr G.________, voire du ou des médecins traitants précédents, et si nécessaire, de mettre en œuvre une expertise afin de déterminer si la dépendance est primaire ou secondaire.</w:t>
      </w:r>
    </w:p>
    <w:p>
      <w:r>
        <w:rPr>
          <w:b/>
        </w:rPr>
        <w:t>E. 7</w:t>
      </w:r>
    </w:p>
    <w:p>
      <w:r>
        <w:t>a) Au vu de ce qui précède, le recours doit être admis, la décision de l'OAI du 20 décembre 2012 étant annulée et la cause renvoyée à l'autorité intimée pour complément d'instruction dans le sens des considérants et nouvelle décision.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al.1 LPA-VD). En l'espèce, le recourant obtient gain de cause. Ainsi, représenté par un mandataire professionnel, il peut prétendre à l'octroi de dépens, qu'il y a lieu d'arrêter à 1'000 fr., à charge de l'intimé (art. 56 al. 2 LPA-VD). L'émolument judiciaire, arrêté à 400 fr., est mis à charge de l'OAI.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