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ZD13.001178 vom 18. März 2014</w:t>
      </w:r>
    </w:p>
    <w:p>
      <w:r>
        <w:t>VD Tribunal cantonal, 2014-03-18, FR</w:t>
      </w:r>
    </w:p>
    <w:p>
      <w:r>
        <w:rPr>
          <w:b/>
        </w:rPr>
        <w:t xml:space="preserve">Quelle: </w:t>
      </w:r>
      <w:r>
        <w:t>https://mcp.opencaselaw.ch/entscheid/vd_gerichte_ZD13.001178</w:t>
      </w:r>
    </w:p>
    <w:p>
      <w:r>
        <w:t>FR: VD_GERICHTE ZD13.001178 du 18 mars 2014</w:t>
      </w:r>
    </w:p>
    <w:p>
      <w:r>
        <w:t>IT: VD_GERICHTE ZD13.001178 del 18 marzo 2014</w:t>
      </w:r>
    </w:p>
    <w:p>
      <w:pPr>
        <w:pStyle w:val="Heading2"/>
      </w:pPr>
      <w:r>
        <w:t>Erwägungen</w:t>
      </w:r>
    </w:p>
    <w:p>
      <w:r>
        <w:rPr>
          <w:b/>
        </w:rPr>
        <w:t>E. 1</w:t>
      </w:r>
    </w:p>
    <w:p>
      <w:r>
        <w:t>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(cf. art. 57a LAI) – peuvent faire l'objet d'un recours devant le tribunal cantonal des assurances (cf. art. 56 et 57 LPGA).</w:t>
      </w:r>
    </w:p>
    <w:p>
      <w:r>
        <w:t>- 18 - Dans la canton de Vaud, la procédure devant le tribunal cantonal des assurances institué par chaque canton en application de l'art. 57 LPGA est régie par la loi vaudoise du 28 octobre 2008 sur la procédure administrative (LPA-VD; RSV 173.36); cette loi s'applique notamment aux recours dans le domaine des assurances sociales (art. 2 al. 1 let. c LPA-VD) et prévoit à cet égard la compétence de la Cours des assurances sociales du Tribunal cantonal (art. 93 let. a LPA-VD). b) Le recours doit être déposé dans le délai légal non prolongeable (art. 40 al. 1 LPGA) de trente jours suivant la notification de la décision sujette à recours (art. 60 al. 1 LPGA). Ce délai commence à courir le lendemain de la communication de la décision attaquée, sans courir durant les féries pascales, estivales ou de fin d'année (art. 38 al. 1 et 4 LPGA, applicable par renvoi de l'art. 60 al. 2 LPGA). La notification doit permettre au destinataire de prendre connaissance de la décision et, cas échéant, de faire usage des voies de droit ouvertes à son encontre.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113 Ib 296 consid. 2a et les références). Le fardeau de la preuve de la notification d'un acte et de sa date incombe en principe à l'autorité qui entend en tirer une conséquence juridique (ATF 129 I 8 consid. 2.2;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w:t>
      </w:r>
    </w:p>
    <w:p>
      <w:r>
        <w:t>- 19 - notification ou sa date sont contestées et qu'il existe effectivement un doute à ce sujet, il y lieu de se fonder sur les déclarations du destinataire de l'envoi (ATF 103 V 63 consid. 2a; TF 9C_413/2011 du 15 mai 2012). c) En l'occurrence, l'intimé n'apporte pas la preuve que la décision du 9 octobre 2012 a bien été notifiée à la recourante ou à son mandataire. L'hypothèse que dite décision n'a pas été adressée à l'intéressée paraît ainsi vraisemblable. Partant, eu égard à la communication de l'OAI du 17 décembre 2012, il y a lieu d'admettre que le recours, parvenu au greffe du tribunal le 14 janvier 2013, a été formé en temps utile, auprès du tribunal compétent. Respectant pour le surplus les autres conditions de forme (art. 61 let. b LPGA notamment), il convient donc d'entrer en matière sur le fond.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Le litige porte sur l'évaluation de l'invalidité à laquelle a procédé l'OAI lors de la procédure de révision de la rente ouverte en janvier 2011, singulièrement sur le point de savoir si la recourante peut prétendre à l’octroi d’une rente entière d’invalidité dès le 1er janvier 2011.</w:t>
      </w:r>
    </w:p>
    <w:p>
      <w:r>
        <w:rPr>
          <w:b/>
        </w:rPr>
        <w:t>E. 3</w:t>
      </w:r>
    </w:p>
    <w:p>
      <w:r>
        <w:t>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w:t>
      </w:r>
    </w:p>
    <w:p>
      <w:r>
        <w:t>- 20 - rente peut ainsi être révisée non seulement en cas de modification sensible de l'état de santé, mais également lorsque celui-ci est resté en soi le même, mais que ses conséquences sur la capacité de gain ont subi un changement important (ATF 130 V 343 consid. 3.5 et les références).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prévalant à l'époque de la décision litigieuse (ATF 133 V 108; TF 9C_431/2009 du 3 novembre 2009 consid. 2.1 et les références). b) Tant lors de l'examen initial du droit à la rente qu'à l'occasion d'une révision de celle-ci, il faut examiner quelle méthode d'évaluation de l'invalidité il convient d'appliquer. Le choix de l'une des méthodes considérées (méthode générale de comparaison des revenus, méthode mixte, méthode spécifique) dépendra du statut du bénéficiaire potentiel de la rente: assuré exerçant une activité lucrative à temps complet, assuré exerçant une activité lucrative à temps partiel, assuré non actif. La détermination du statut de l'assuré s'effectue en fonction de ce qu'il aurait fait dans les mêmes circonstances si l'atteinte à la santé n'était pas survenue, en tenant compte d'éléments tels que la situation financière du ménage, l'éducation des enfants, l'âge de l'assuré, ses qualifications professionnelles, sa formation ainsi que ses affinités et talents personnels (ATF 125 V 146 consid. 2c; ATF 117 V 194 consid. 3b; TF I 707/2001 du 20 février 2003 consid. 2.1). Il s'agit d'une appréciation hypothétique qui doit prendre en compte également des intentions hypothétiques de la personne assurée, lesquelles ne peuvent pas être prouvées directement mais doivent en règle générales être déduites d'indices externes (TF I 693/2006 du 20 décembre 2006 consid. 4.1). Chez les assurés qui n'exerçaient que partiellement une activité lucrative, l'invalidité est, pour cette part, évaluée selon la méthode générale de comparaison des revenus. S'ils se consacraient en outre à</w:t>
      </w:r>
    </w:p>
    <w:p>
      <w:r>
        <w:t>- 21 -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[règlement du 17 janvier 1961 sur l'assurance-invalidité, RS 831.201]; voir par ailleurs ATF 131 V 51 consid. 5.1.2; ATF 137 V 334). c)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En revanche, l'incapacité d'accomplir les travaux habituels (art. 28a al. 2 LAI en corrélation avec les art. 27 RAI et 8 al. 3 LPGA) s'évalue différemment. Elle se fonde non seulement sur l'inaptitude de l'assuré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[Office fédéral des assurances sociales] concernant l'invalidité et l'impotence dans l'assurance-invalidité (CIIAI), p. 69, n° 3081 ss). La personne chargée de l’enquête doit indiquer les activités que la personne assurée ne peut plus accomplir, ou alors uniquement de manière très limitée, et depuis quand cette limitation est intervenue. En outre, elle donnera des renseignements sur l’ampleur des limitations liées à l’invalidité et examinera si la personne doit éventuellement consacrer plus de temps que d’ordinaire à l’accomplissement de ces travaux (on tiendra compte du facteur temps dans la mesure où celui-ci n’a pas déjà été pris en considération dans le cadre de la suppression d’un domaine d’activités).</w:t>
      </w:r>
    </w:p>
    <w:p>
      <w:r>
        <w:t>- 22 - Elle doit également fournir des informations concernant l’aide apportée à la personne assurée par des tiers (par exemple par des parents, voisins ou aides extérieures) dans l’accomplissement de ses activités (ATF 130 V 97). Une enquête ménagère effectuée au domicile de la personne assurée, conformément aux directives de l'OFAS, constitue en règle générale une base appropriée et suffisante pour évaluer les empêchements dans l'accomplissement des travaux habituels. Une telle enquête permet en premier lieu d’estimer l’étendue d’empêchements dus à des troubles physiques. Elle conserve néanmoins valeur probante lorsqu’il s’agit d’évaluer les empêchements que l’intéressée rencontre dans l’exercice de ses activités habituelles en raison de troubles d’ordre psychique (cf. TF 9C_108/2009 du 29 octobre 2009 consid. 4.1). En présence de tels troubles, et en cas de divergences entre les résultats de l’enquête économique sur le ménage et les constatations d’ordre médical relatives à la capacité d’accomplir les travaux habituels, celles-ci ont, en général, plus de poids que l’enquête à domicile (cf. TF 8C_671/2007 du 13 juin 2008 consid. 3.2.1 et TF I 311/03 du 22 décembre 2003 consid. 4.2.1, in VSI 2004 p. 137). Cette priorité de principe est justifiée par le fait qu’il est souvent difficile pour la personne chargée de l’enquête de reconnaître et d’apprécier l’ampleur de l’atteinte psychique et des empêchements qui en résultent. Pour l’application du droit dans le cas concret, cela signifie qu’il convient d’évaluer à la lumière des exigences développées par la jurisprudence la valeur probante des avis médicaux (ATF 125 V 351 consid. 3) et du rapport d’enquête économique sur le ménage (consid. 2.3.2 non publié au Recueil officiel mais dans VSI 2003 p. 218 de l’ATF 129 V 67 [TF I 90/2002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accordée aux rapports médicaux dans la mesure où il s’agit d’évaluer un aspect médical (TF I 733/2003 du</w:t>
      </w:r>
    </w:p>
    <w:p>
      <w:r>
        <w:rPr>
          <w:b/>
        </w:rPr>
        <w:t>E. 6</w:t>
      </w:r>
    </w:p>
    <w:p>
      <w:r>
        <w:t>a) En définitive, le recours doit être admis, la décision du 9 octobre 2012 annulée et la cause renvoyée à l'intimée pour instruction complémentaire au sens des considérants puis nouvelle décision.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à la charge de l'OAI débouté La recourante, qui obtient gain de cause avec l'assistance d'un mandataire professionnel, a droit à des dépens dont le montant doit être déterminé, sans égard à la valeur litigieuse, d'après l'importance et la complexité du litige (art. 61 let. g LPGA et 56 al. 2 LPA-VD; ATF 135 V 473 consid. 2.1). En l'espèce, il convient d'arrêter le montant des dépens à 2'000 fr. et de les mettre à la charge de l'intimée,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