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ZD12.050297 vom 17. Juli 2013</w:t>
      </w:r>
    </w:p>
    <w:p>
      <w:r>
        <w:t>VD Tribunal cantonal, 2013-07-17, FR</w:t>
      </w:r>
    </w:p>
    <w:p>
      <w:r>
        <w:rPr>
          <w:b/>
        </w:rPr>
        <w:t xml:space="preserve">Quelle: </w:t>
      </w:r>
      <w:r>
        <w:t>https://mcp.opencaselaw.ch/entscheid/vd_gerichte_ZD12.050297</w:t>
      </w:r>
    </w:p>
    <w:p>
      <w:r>
        <w:t>FR: VD_GERICHTE ZD12.050297 du 17 juillet 2013</w:t>
      </w:r>
    </w:p>
    <w:p>
      <w:r>
        <w:t>IT: VD_GERICHTE ZD12.050297 del 17 luglio 2013</w:t>
      </w:r>
    </w:p>
    <w:p>
      <w:pPr>
        <w:pStyle w:val="Heading2"/>
      </w:pPr>
      <w:r>
        <w:t>Erwägungen</w:t>
      </w:r>
    </w:p>
    <w:p>
      <w:r>
        <w:rPr>
          <w:b/>
        </w:rPr>
        <w:t>E. 1</w:t>
      </w:r>
    </w:p>
    <w:p>
      <w:r>
        <w:t>a) Les dispositions de la LPGA (loi fédérale du 6 octobre 2000 sur la partie générale du droit des assurances sociales; RS 830.1) s'appliquent à l'AI, sous réserve de dérogations expresses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al. 1 let. a LPA-VD). c) Interjeté en temps utile et satisfaisant aux autres conditions de forme prévues par la loi (art. 61 let. b LPGA), le recours est recevable si bien qu'il y a lieu d'entrer en matière.</w:t>
      </w:r>
    </w:p>
    <w:p>
      <w:r>
        <w:rPr>
          <w:b/>
        </w:rPr>
        <w:t>E. 2</w:t>
      </w:r>
    </w:p>
    <w:p>
      <w:r>
        <w:t>Le recourant critique l'absence de réduction sur le salaire statistique d'invalide, estimant qu'il se justifie de pouvoir bénéficier d'un abattement d'au moins 15% en fonction de divers facteurs personnels et professionnels. Il ne conteste au demeurant pas les revenus avec et sans invalidité retenus par l'intimé, pas plus que la naissance du droit à la</w:t>
      </w:r>
    </w:p>
    <w:p>
      <w:r>
        <w:t>- 7 - rente, de sorte que point n'est besoin d'examiner ces questions plus avant.</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L'art. 28 al. 2 LAI prévoit que la rente est échelonnée selon le degré d'invalidité: un degré d'invalidité de 40% au moins donne droit à un quart de rente, un degré d'invalidité de 50% au moins donne droit à une demi-rente, un degré d'invalidité de 60% au moins donne droit à trois quarts de rente et un degré d'invalidité de 70% au moins donne droit à une rente entière. b) Selon la jurisprudence, Il est notoire que les personnes atteintes dans leur santé, qui présentent des limitations même pour accomplir des activités légères, sont désavantagées sur le plan de la rémunération par rapport aux travailleurs jouissant d'une pleine capacité</w:t>
      </w:r>
    </w:p>
    <w:p>
      <w:r>
        <w:t>- 8 - de travail et pouvant être engagés comme tels; ces personnes doivent généralement compter sur des salaires inférieurs à la moyenne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p. 399), notamment en retenant des critères inappropriés, en ne tenant pas compte de circonstances pertinentes, en ne procédant pas à un examen complet de ces mêmes circonstances ou en n'usant pas de critères objectifs (cf. ATF 130 III 176 consid. 1.2 p. 180; TF 9C_449/2012 du 3 octobre 2012 consid. 3.4). Le pouvoir d'examen de l'autorité judiciaire de première instance n'est pas limité dans ce contexte à la violation du droit (y compris l'excès ou l'abus du pouvoir d'appréciation), mais s'étend également à l'opportunité de la décision administrative (ATF 137 V 71 consid. 5.2). On précisera par ailleurs qu'une déduction sur le montant du salaire d'invalide résultant des statistiques en raison d'empêchements propres à l'assuré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w:t>
      </w:r>
    </w:p>
    <w:p>
      <w:r>
        <w:t>- 9 - bien plutôt procéder à une évaluation globale, dans les limites du pouvoir d'appréciation, des effets de ces facteurs sur le revenu d'invalide, compte tenu de l'ensemble des circonstances du cas concret. Une déduction globale maximale de 25% sur le salaire statistique permet de tenir compte des différents éléments qui peuvent influencer le revenu d'une activité lucrative (ATF 126 V 75 consid. 5b/aa-cc p. 79; TF 9C_861/2012 du 6 février 2013 consid. 5.1.2).</w:t>
      </w:r>
    </w:p>
    <w:p>
      <w:r>
        <w:rPr>
          <w:b/>
        </w:rPr>
        <w:t>E. 4</w:t>
      </w:r>
    </w:p>
    <w:p>
      <w:r>
        <w:t>a) En l'occurrence, l'office intimé a refusé de procéder à un abattement sur le salaire d'invalide au motif qu'aucun des facteurs personnels ou professionnels susceptibles d'influencer le revenu d'une activité lucrative n'était réalisé. Selon le recourant, en revanche, des facteurs de réduction liés à l'âge, à l'expérience professionnelle et aux connaissances linguistiques rudimentaires justifient une réduction salariale de 15 pour-cent. b) Le point de vue de ce dernier est mal fondé. En effet, les affections physiques de l'intéressé et le fait qu'il ne pourra plus effectuer de travaux lourds ont été pris en compte lors de l'évaluation de sa capacité résiduelle de travail dans une activité professionnelle adaptée à sa santé, soit une activité industrielle légère exercée à 70 pour-cent. Ce faisant, les facultés réduites de rendement ont été prises en considération lors de l'appréciation de la capacité résiduelle de travail par le COPAI, suivi en cela par le SMR et l'office intimé, dans le sens d'une réduction de 30% de la capacité de rendement du recourant dans une activité à plein temps. Elles ne sauraient donc l'être une seconde fois, dans le cadre de l'évaluation du revenu d'invalide, en tant que facteur de réduction du salaire statistique. c) De plus, les prestations de l'assurance-invalidité compensent l'incapacité de gain résultant d'une atteinte à la santé des assurés et ne sauraient servir à combler les éventuelles lacunes scolaires ou linguistiques des intéressés. Outre ces dernières, l'absence de formation professionnelle ou la capacité d'apprentissage limitée ne peuvent pas non plus être prises en compte dans la mesure où le salaire</w:t>
      </w:r>
    </w:p>
    <w:p>
      <w:r>
        <w:t>- 10 - considéré est celui correspondant à des activités simples et répétitives dans le secteur privé (niveau de qualification 4). En effet,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9C_1047/2008 du 7 octobre 2009 consid. 3.4 et la référence). En résumé, les difficultés linguistiques, le manque de formation professionnelle ou la capacité d'apprentissage réduite ne peuvent être considérés comme des critères déterminants au regard de la nature des activités encore exigibles. d) Cela étant, ces éléments n'ont pas empêché le recourant d'exercer à satisfaction depuis son arrivée en Suisse en 1977 une activité professionnelle auprès de deux employeurs successifs, ce qui démontre une intégration professionnelle réussie. Il est en outre décrit par le COPAI comme un travailleur exemplaire et consciencieux. Ce profil de travailleur ne devrait pas d'office inciter un employeur potentiel à une réduction de salaire. Par ailleurs, le recourant n'a plus du tout d'activité professionnelle depuis fin 2011 seulement, de telle sorte que l'on ne saurait considérer qu'il existe un éloignement du marché du travail d'une durée justifiant une réduction, ce d'autant que l'intéressé bénéficie d'une mesure d'accompagnement. Au vrai, compte tenu des faibles exigences requises pour l'exécution d'activités simples et répétitives (niveau de qualification 4), le facteur des nombreuses années de service du recourant perd considérablement de son importance (cf. Michel Valterio, Droit de l'assurance-vieillesse et survivants [AVS] et de l'assurance-invalidité [AI], commentaire thématique, Genève-Zurich-Bâle 2011, note 2136, p. 572 et la référence). Enfin, c'est en vain que le recourant reproche à l'office</w:t>
      </w:r>
    </w:p>
    <w:p>
      <w:r>
        <w:t>- 11 - intimé de ne pas avoir pris en compte son âge dans une plus large mesure. En effet, au moment déterminant où l'administration a apprécié la situation (décision du 19 novembre 2012), il était âgé de 57 ans et six mois; il n'avait par conséquent pas atteint l'âge à partir duquel le Tribunal fédéral reconnaît généralement que ce facteur devient déterminant et nécessite une approche particulière (TF 9C_578/2009 du 29 décembre 2009 consid. 4.3.2 et les références). En résumé, né le 3 juin 1955, au bénéfice d'un permis C et d'une expérience professionnelle acquise en Suisse depuis 1977, le recourant ne présente aucune limitation liée à l'âge, aux années de service, à la nationalité ou à la catégorie d'autorisation de séjour. e) Au vu de ce qui précède, on ne voit pas, à la lumière de l'argumentation du recourant, que l'une ou l'autre circonstance pertinente aurait été ignorée ou, à tout le moins, appréciée de manière manifestement insoutenable. Il s'ensuit que la comparaison des revenus – que le recourant ne conteste pas, de sorte que, apparaissant exacts, ils peuvent être confirmés – donne une invalidité de 46,89% ([81'430 fr. 70 – 43'243 fr. 30 ] x 100 : 81'430 fr. 70), soit, arrondi au pour cent supérieur, 47% (ATF 130 V 121 consid. 3.2), taux qui donne droit à un quart de rente (art. 28 al. 2 LAI), à compter du 1er mars 2012, date que le recourant ne remet pas non plus en cause.</w:t>
      </w:r>
    </w:p>
    <w:p>
      <w:r>
        <w:rPr>
          <w:b/>
        </w:rPr>
        <w:t>E. 5</w:t>
      </w:r>
    </w:p>
    <w:p>
      <w:r>
        <w:t>En définitive, le recours se révèle mal fondé et doit être rejeté, ce qui entraîne la confirmation de la décision entreprise.</w:t>
      </w:r>
    </w:p>
    <w:p>
      <w:r>
        <w:rPr>
          <w:b/>
        </w:rPr>
        <w:t>E. 6</w:t>
      </w:r>
    </w:p>
    <w:p>
      <w:r>
        <w:t>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w:t>
      </w:r>
    </w:p>
    <w:p>
      <w:r>
        <w:t>- 12 - doivent être arrêtés à 400 fr. et être mis à la charge du recourant, qui succombe (art. 69 al. 1 bis LAI; art. 49 al. 1 LPA-VD). Il n'y a pas lieu d'allouer de dépens, le recourant n'obtenant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