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ZD12.043148 vom 5. November 2013</w:t>
      </w:r>
    </w:p>
    <w:p>
      <w:r>
        <w:t>VD Tribunal cantonal, 2013-11-05, FR</w:t>
      </w:r>
    </w:p>
    <w:p>
      <w:r>
        <w:rPr>
          <w:b/>
        </w:rPr>
        <w:t xml:space="preserve">Quelle: </w:t>
      </w:r>
      <w:r>
        <w:t>https://mcp.opencaselaw.ch/entscheid/vd_gerichte_ZD12.043148</w:t>
      </w:r>
    </w:p>
    <w:p>
      <w:r>
        <w:t>FR: VD_GERICHTE ZD12.043148 du 5 novembre 2013</w:t>
      </w:r>
    </w:p>
    <w:p>
      <w:r>
        <w:t>IT: VD_GERICHTE ZD12.043148 del 5 novembre 2013</w:t>
      </w:r>
    </w:p>
    <w:p>
      <w:pPr>
        <w:pStyle w:val="Heading2"/>
      </w:pPr>
      <w:r>
        <w:t>Erwägungen</w:t>
      </w:r>
    </w:p>
    <w:p>
      <w:r>
        <w:rPr>
          <w:b/>
        </w:rPr>
        <w:t>E. 4</w:t>
      </w:r>
    </w:p>
    <w:p>
      <w:r>
        <w:t>Chez les assurés actifs, le degré d'invalidité doit être déterminé sur la base d'une comparaison des revenus (art. 28a al. 1 LAI).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p. 30; 104 V 135 consid. 2a et 2b p. 136).</w:t>
      </w:r>
    </w:p>
    <w:p>
      <w:r>
        <w:t>- 18 - La recourante étant une personne active, la méthode générale de comparaison des revenus est applicable. En l'espèce, l’OAI s’est référé à l'art. 26 al. 1 RAI (Règlement du 17 janvier 1961 sur l’assurance-invalidité, RS 831.201) pour déterminer le revenu sans invalidité. Selon cette disposition légale,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[suit le tableau des fractions du revenu sans invalidité en fonction de l'âge de l'assuré]. Or, la recourante est non seulement au bénéfice d'un certificat de fin d'apprentissage d'employée en économie familiale mais encore a achevé avec succès une formation professionnelle initiale avec attestation fédérale en qualité d’employée d'intendance. L'article 26 al. 1 RAI ne s'applique donc pas à la situation de la recourante. Le cas relève ainsi de la règle générale de l'art. 16 LPGA.</w:t>
      </w:r>
    </w:p>
    <w:p>
      <w:r>
        <w:rPr>
          <w:b/>
        </w:rPr>
        <w:t>E. 5</w:t>
      </w:r>
    </w:p>
    <w:p>
      <w:r>
        <w:t>S'agissant du revenu avec invalidité, il appartiendra à l’OAI de le fixer en tenant compte cas échéant de la diminution effective des taux de capacité de travail et de rendement de la recourante.</w:t>
      </w:r>
    </w:p>
    <w:p>
      <w:r>
        <w:rPr>
          <w:b/>
        </w:rPr>
        <w:t>E. 6</w:t>
      </w:r>
    </w:p>
    <w:p>
      <w:r>
        <w:t>a) Au vu de ce qui précède, le recours doit être admis, la décision de l'OAI du 15 octobre 2012 étant annulée et la cause renvoyée à l'autorité intimée pour complément d'instruction dans le sens des considérants et nouvelle décision.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 art. 49 al. 1 LPA-VD). Par ailleurs, le recourant qui obtient gain de cause a droit à l'allocation de dépens, d'après l'importance et la complexité du litige (art. 61 let. g LPGA ; art. 55 al.1 LPA-VD).</w:t>
      </w:r>
    </w:p>
    <w:p>
      <w:r>
        <w:t>- 19 - En l'espèce, la recourante obtient gain de cause. Ainsi, représentée par un mandataire professionnel, elle peut prétendre à l'octroi de dépens, qu'il y a lieu d'arrêter à 1'500 fr., à charge de l'intimé (art. 56 al. 2 LPA-VD). L'émolument judiciaire, arrêté à 400 fr., est mis à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