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ZD12.041329 vom 19. August 2013</w:t>
      </w:r>
    </w:p>
    <w:p>
      <w:r>
        <w:t>VD Tribunal cantonal, 2013-08-19, FR</w:t>
      </w:r>
    </w:p>
    <w:p>
      <w:r>
        <w:rPr>
          <w:b/>
        </w:rPr>
        <w:t xml:space="preserve">Quelle: </w:t>
      </w:r>
      <w:r>
        <w:t>https://mcp.opencaselaw.ch/entscheid/vd_gerichte_ZD12.041329</w:t>
      </w:r>
    </w:p>
    <w:p>
      <w:r>
        <w:t>FR: VD_GERICHTE ZD12.041329 du 19 août 2013</w:t>
      </w:r>
    </w:p>
    <w:p>
      <w:r>
        <w:t>IT: VD_GERICHTE ZD12.041329 del 19 agosto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Quand pourra-t-il écrire avec un clavier d'ordinateur aussi rapidement que ses camarades écrivent manuellement en moyenne ? (Merci de nous donner un horizon temporel, en termes de nombre de séances).</w:t>
      </w:r>
    </w:p>
    <w:p>
      <w:r>
        <w:rPr>
          <w:b/>
        </w:rPr>
        <w:t>E. 4</w:t>
      </w:r>
    </w:p>
    <w:p>
      <w:r>
        <w:t>Peut-il suivre la gymnastique et les travaux manuels comme ses camarades ? Si non, en poursuivant l'ergothérapie, quand le pourra-t-il ? (Merci de nous donner une horizon temporel, en terme de nombre de séances)</w:t>
      </w:r>
    </w:p>
    <w:p>
      <w:r>
        <w:rPr>
          <w:b/>
        </w:rPr>
        <w:t>E. 5</w:t>
      </w:r>
    </w:p>
    <w:p>
      <w:r>
        <w:t>Compte tenu de ce qui précède, le recours doit être rejeté et la décision attaquée confirmée. En dérogation à l'art. 61 let. a LPGA, la procédure de recours en matière de contestations portant sur l'octroi ou le refus de prestations de l'AI devant le tribunal cantonal des assurances est soumise à des frais de justice; le montant des frais est fixé en fonction de la charge liée à la procédure, indépendamment de la valeur litigieuse, et doit se situer entre 200 et 1'000 francs (art. 69 al. 1bis LAI). En l'espèce, il convient de les fixer à 400 fr., à la charge de la recourante qui succombe. Il n'y a lieu d'allouer des dépens ni à l'OAI, ni à l'intervenant qui a procédé par l'intermédiaire de ses parents et non celui d'un mandataire professionnel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