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ZD12.021293 vom 11. Juni 2013</w:t>
      </w:r>
    </w:p>
    <w:p>
      <w:r>
        <w:t>VD Tribunal cantonal, 2013-06-11, FR</w:t>
      </w:r>
    </w:p>
    <w:p>
      <w:r>
        <w:rPr>
          <w:b/>
        </w:rPr>
        <w:t xml:space="preserve">Quelle: </w:t>
      </w:r>
      <w:r>
        <w:t>https://mcp.opencaselaw.ch/entscheid/vd_gerichte_ZD12.021293</w:t>
      </w:r>
    </w:p>
    <w:p>
      <w:r>
        <w:t>FR: VD_GERICHTE ZD12.021293 du 11 juin 2013</w:t>
      </w:r>
    </w:p>
    <w:p>
      <w:r>
        <w:t>IT: VD_GERICHTE ZD12.021293 del 11 giugno 2013</w:t>
      </w:r>
    </w:p>
    <w:p>
      <w:pPr>
        <w:pStyle w:val="Heading2"/>
      </w:pPr>
      <w:r>
        <w:t>Erwägungen</w:t>
      </w:r>
    </w:p>
    <w:p>
      <w:r>
        <w:rPr>
          <w:b/>
        </w:rPr>
        <w:t>E. 2</w:t>
      </w:r>
    </w:p>
    <w:p>
      <w:r>
        <w:t>Si oui, quels sont les éléments qui rendent cette date du début de l’incapacité de travail au mois de novembre 2007 plus vraisemblable qu’une autre ? De façon générale, une incapacité de travail résulte de l’interaction entre les limitations de la personne en cause et les exigences de son activité professionnelle. Pour l’expert, il est vraisemblable que l’intéressée ait présenté ce qu’on appelle un minimal brain damage pendant la grossesse ou dans la période néonatale. Les causes peuvent en être multiples : foetopathie éthylique, foetopathie infectieuse, anoxie cérébrale néonatale, etc. En l’état, on n’a pas d’argument pour une maladie génétique, bien qu’elle ne puisse être définitivement exclue. Ce dommage cérébral a déterminé un retard développemental. Les conséquences en ont été le déficit des acquisitions scolaires ainsi que ce que peut désigner à l’âge adulte un trouble mixte de la personnalité. L’assurée a pu fonctionner dans son activité de paysagiste auprès de l’employeur qui l’avait prise en apprentissage. D’après les informations, les choses se passaient relativement bien au départ. L’assurée avait une position qui a fait, selon ce qu’elle rapporte, que ses collègues pensaient qu’elle était la fille de l’employeur. Il est vraisemblable qu’elle ait bénéficié d’attentions particulières et qu’elle ait été relativement protégée. Avec le changement d’atmosphère au retour du Canada et peut-être des exigences tout simplement ordinaires pour une aide-paysagiste, l’assurée est arrivée à un point de rupture. Elle l’a manifesté par des plaintes d’allure somatique et vraisemblablement par une diminution de rendement. Elle a finalement été licenciée. Pour l’expert médical, cette histoire relève d’un continuum. L’assurée n’était pas en bonne santé au moment où elle s’est affiliée à la caisse de pension, même si elle était de bonne foi lorsqu’elle a rempli le questionnaire ad hoc. Elle relevait déjà des entités diagnostiques retenues dans ce rapport médical. Elle a néanmoins pu fonctionner plus ou moins correctement pendant des années dans des conditions particulières où elle était probablement épargnée et protégée. Avec l’augmentation des sollicitations et une atmosphère de travail moins bonne au retour du Canada, l’intéressée est arrivée aux limites de ses capacités adaptatives. Elle est devenue symptomatique. Son rendement a diminué. Elle a manqué son travail. Elle a finalement été licenciée. L’incapacité de travail administrative part au mois de novembre 2007 parce que c’est à ce moment-là qu’elle s’est concrétisée sur le terrain. L’expert médical ne peut rien dire de plus.</w:t>
      </w:r>
    </w:p>
    <w:p>
      <w:r>
        <w:t>- 16 -</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dans sa teneur en vigueur depuis le 1er janvier 2008).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Dans le domaine de la prévoyance professionnelle, les prestations sont dues, conformément à l'art. 23 LPP,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correspond à la survenance de l'incapacité de travail dont la cause est à l'origine de l'invalidité. Ces principes sont aussi applicables en matière de prévoyance plus étendue, à tout le moins en l'absence de dispositions statutaires ou réglementaires contraires (ATF 123 V 262 consid. 1b). Selon la jurisprudence, l'événement assuré au sens de l'art. 23 LPP est donc uniquement la survenance d'une incapacité de travail d'une certaine importance (20 % au moins; TF 9C_335/2011 du 14 mars 2012 consid. 2; B</w:t>
      </w:r>
    </w:p>
    <w:p>
      <w:r>
        <w:t>- 19 - 105/03 du 14 mars 2005 consid. 1; B 48/97 du 7 octobre 1998 consid. 1),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120 V 112 consid. 2c/aa). c)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w:t>
      </w:r>
    </w:p>
    <w:p>
      <w:r>
        <w:t>- 20 -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En principe, le juge ne s'écarte pas sans motifs impératifs des conclusions d'une expertise médicale judiciaire, la tâche de l'expert étant</w:t>
      </w:r>
    </w:p>
    <w:p>
      <w:r>
        <w:t>- 21 -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w:t>
      </w:r>
    </w:p>
    <w:p>
      <w:r>
        <w:rPr>
          <w:b/>
        </w:rPr>
        <w:t>E. 4</w:t>
      </w:r>
    </w:p>
    <w:p>
      <w:r>
        <w:t>En l'espèce, il n'y a pas lieu de s'écarter des conclusions médicales résultant de l'expertise établie par le Dr F.________. a) L'expertise du Dr F.________ remplit toutes les exigences formelles auxquelles la jurisprudence soumet la valeur probante d'un tel document. Les conclusions rendues par ce médecin résultent d'une analyse complète de la situation médicale – objective et subjective – portant sur la situation psychique de l'assurée. Contrairement à ce que soutient le recourant, elles reposent sur une anamnèse dont rien n'indique qu'elle soit incomplète, quand bien même la prise d'anamnèse a certainement été difficile eu égard aux limitations psychiques présentées par l'assurée. Compte tenu de ce contexte particulier, on ne saurait faire le reproche à l'expert de s'être entretenu avec le père adoptif de l'assurée afin de compléter les renseignements obtenus (p. 5 in fine de l'expertise). On ne saurait non plus faire grief à l’expert d’avoir pris connaissance du dossier juridique de l’assurée, dès lors qu’une bonne connaissance de l'ensemble du dossier – médical et judiciaire – est un préalable nécessaire, sinon indispensable, à la réalisation d‘une expertise judiciaire. b) Au terme de son évaluation, l'expert a retenu que l'assurée souffrait d'un trouble mixte des acquisitions scolaires ainsi que d'un</w:t>
      </w:r>
    </w:p>
    <w:p>
      <w:r>
        <w:t>- 22 - trouble mixte de la personnalité. Il n'est pas contesté ni contestable que le trouble mixte des acquisitions scolaires a affecté l'assurée dès son plus jeune âge, comme le prouve les difficultés scolaires qu’elle a rencontrées et le fait qu'elle ne dispose d'aucune formation professionnelle certifiée. Malgré les particularités de sa personnalité, l'assurée est néanmoins parvenue – avec la bienveillance manifeste de son employeur – à s'intégrer durant plusieurs années dans le monde du travail. Or, le fait qu'une personne assurée ait, depuis le début de son activité lucrative, subi des atteintes à la santé limitant sa capacité de faire face aux exigences professionnelles n'est pas déterminant lorsque ces déficits ont pu être compensés pendant des années, de tels déficits étant alors compatibles avec une activité professionnelle. Est alors déterminante la date à laquelle les limitations latentes se sont transformées en une incapacité de travail manifeste (TF 8C_195/2009 du 2 septembre 2009 consid. 5). Il est vrai qu'aucune incapacité de travail liée aux troubles psychiques de l'assurée ne s'est manifestée au cours des rapports de travail et que les documents médicaux versés au dossier ne font pas mention d'un processus de décompensation psychique ou d'une autre forme d'effondrement psychologique. Cela n'est toutefois pas incompatible avec la nature très particulière des troubles psychiques de l’assurée. Se fondant sur son expérience clinique, le DrF.________ a rapporté l'existence de cas de personnes qui ont été capables de s'adapter des mois ou des années dans des situations très spécifiques pour s'effondrer et devenir partiellement ou totalement incapables de travailler à la faveur de changements minimes à la place de travail. La situation vécue par l’assurée entre manifestement dans le cas de figure évoqué par l’expert. La rupture des rapports de travail a clairement mis à nu la fragilité psychologique de l’assurée et son incapacité à exercer une activité lucrative compatible avec les exigences du marché du travail. En d’autres mots, la rupture des rapports de travail a entraîné l’incapacité totale de travailler. On relèvera d’ailleurs que cette conséquence avait été évoquée par les Dresses S.________ (rapport du 16 juillet 2007, voir également le rapport du 12 septembre 2008), qui estimait que seule une activité exercée dans un milieu protégé restait exigible, et X.________ (rapport non daté), qui affirmait que la reprise d’une formation exigeant un apprentissage théorique semblait compromise à moins qu’un</w:t>
      </w:r>
    </w:p>
    <w:p>
      <w:r>
        <w:t>- 23 - soutien individualisé ne soit mis en place (ce qui n’est guère envisageable sur le marché du travail; voir également le rapport du 3 décembre 2009 du Dr O.________). c) Sur le vu des constatations qui précèdent, les éléments évoqués par le recourant, tels que l’absence de périodes d’incapacité de travail attestées postérieurement au licenciement, le fait que l’assurée aurait été licenciée pour des motifs économiques plutôt que médicaux ou encore le fait que l’assurée se soit inscrite au chômage, ne sont pas déterminants pour trancher la question du moment de la survenance de l’incapacité de travail à l’origine de l’invalidité. d) Au final, il y a lieu de retenir que l'assurée a présenté une incapacité totale de travailler immédiatement après la fin de ses rapports de travail. Contrairement à ce qu’a retenu le Dr F.________, il convient de fixer cette date au 1er décembre 2007, puisque l’assurée a été licenciée pour le 30 novembre 2007 et que le dernier jour de travail effectif a eu lieu le 30 novembre 2007 (cf. questionnaire pour l’employeur). A l'échéance du délai de carence d'une année de l’art. 28 al. 1 let. b et c LAI, soit le 1er décembre 2008, l’assurée pouvait donc prétendre à une rente entière de l’assurance-invalidité. L'assurée n'ayant déposé sa demande de prestations qu'au mois de juillet 2008, le début éventuel du versement de la rente ne pouvait toutefois débuter, conformément à l'art. 29 al. 1 LAI, que six mois plus tard, soit au mois de janvier 2009 (ATF 138 V 475 consid. 3).</w:t>
      </w:r>
    </w:p>
    <w:p>
      <w:r>
        <w:rPr>
          <w:b/>
        </w:rPr>
        <w:t>E. 5</w:t>
      </w:r>
    </w:p>
    <w:p>
      <w:r>
        <w:t>a) Sur le vu de ce qui précède, le recours formé par le Fonds de prévoyance R.________ doit être très partiellement admis et la décision attaquée réformée, en ce sens que W.________ a droit à une rente entière de l’assurance-invalidité à compter du 1er janvier 2009. b) En dérogation de l'art. 61 let. a LPGA, la procédure de recours en matière de contestations portant sur l'octroi ou le refus de prestations de l'assurance-invalidité devant le tribunal cantonal des assurances est soumise à des frais de justice (art. 69 al. 1bis LAI). Les frais</w:t>
      </w:r>
    </w:p>
    <w:p>
      <w:r>
        <w:t>- 24 - de justice, fixés à 750 francs pour l'ensemble de la procédure, doivent par conséquent être mis à la charge du Fonds de prévoyance R.________ débouté, l’admission très partiel du recours ne justifiant par ailleurs pas de répartir les frais et les dépens entre les parties. c) Obtenant pour l’essentiel gain de cause vis-à-vis du Fonds de prévoyance R.________ avec l'assistance d'un mandataire professionnel, l'assurée appelée en cause a droit à des dépens de la part du Fonds de prévoyance R.________, qu'il convient de fixer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