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ZD12.015998 vom 8. April 2013</w:t>
      </w:r>
    </w:p>
    <w:p>
      <w:r>
        <w:t>VD Tribunal cantonal, 2013-04-08, FR</w:t>
      </w:r>
    </w:p>
    <w:p>
      <w:r>
        <w:rPr>
          <w:b/>
        </w:rPr>
        <w:t xml:space="preserve">Quelle: </w:t>
      </w:r>
      <w:r>
        <w:t>https://mcp.opencaselaw.ch/entscheid/vd_gerichte_ZD12.015998</w:t>
      </w:r>
    </w:p>
    <w:p>
      <w:r>
        <w:t>FR: VD_GERICHTE ZD12.015998 du 8 avril 2013</w:t>
      </w:r>
    </w:p>
    <w:p>
      <w:r>
        <w:t>IT: VD_GERICHTE ZD12.015998 del 8 aprile 2013</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- 16 -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Le délai de 30 jours suivant la notification de la décision sujette au recours (art. 60 al. 1 LPGA) ne court pas durant les féries pascales (art. 38 al. 4 let. a LPGA applicable par le renvoi de l'art. 60 al. 2 LPGA), si bien que le recours déposé le 25 avril 2012 contre la décision du 12 mars 2012 l'a été en temps utile. 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ATF 125 V 413 consid. 2c; ATF 110 V 48 consid. 4a; RCC 1985 p. 53; TF 9C_694/2009 du 31 décembre 2010 consid. 3.1). b) En l’espèce, le litige porte sur le droit du recourant à une rente d'invalidité.</w:t>
      </w:r>
    </w:p>
    <w:p>
      <w:r>
        <w:rPr>
          <w:b/>
        </w:rPr>
        <w:t>E. 3</w:t>
      </w:r>
    </w:p>
    <w:p>
      <w:r>
        <w:t>Le recourant se plaint en premier lieu d’une violation de son droit d’être entendu, au motif que l’OAI ne lui aurait pas laissé le temps de produire des pièces comptables et ne lui aurait pas accordé d’entretien.</w:t>
      </w:r>
    </w:p>
    <w:p>
      <w:r>
        <w:t>- 17 - a) Le droit d'être entendu, prévu à l'art. 29 al. 2 Cst. (Constitution fédérale de la Confédération suisse du 18 avril 1999,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132 V 368 consid. 3.1; TF 9C_705/2009 du 21 décembre 2009, consid. 1.2.2; TFA I 507/2003 du 15 janvier 2004, consid. 2.2 et les références).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(TF 9C_115/2007 du 22 janvier 2008, consid. 5.2; voir aussi Kieser, ATSG Kommentar, Zurich 2009, n°7 et 8, ad art. 42 LPGA et les références). S'agissant d'une garantie constitutionnelle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la possibilité de s'exprimer devant une autorité de recours jouissant d'un plein pouvoir d'examen (TF I 904/2006 du 19 mars 2007, consid. 4.3 et les références; cf. aussi Kieser, op. cit., n°9 ad art. 42 LPGA). b) S'il est douteux que le droit d’être entendu du recourant ait été violé en procédure de première instance conduite devant l'office intimé, on doit constater que le recourant, de son propre aveu, a produit en recours les pièces qu’il aurait souhaité produire devant l’autorité administrative. A cet égard, il n’y a au demeurant nulle trace au dossier de</w:t>
      </w:r>
    </w:p>
    <w:p>
      <w:r>
        <w:t>- 18 - l’intimé d’une demande du recourant tendant à obtenir un délai supplémentaire en vue de la production desdites pièces. En adressant au recourant un projet de décision, l’intimé a du reste garanti son droit d’être entendu dans la procédure préalable, sans qu’il ne puisse lui être fait grief de ne lui avoir pas accordé d’entretien. Quoi qu’il en soit, une éventuelle violation du droit d'être entendu - qui ne revêtirait pas une gravité particulière - devrait être considérée comme réparée. En effet, le recourant s'est déterminé en recours, en réplique et à l’occasion d’observations complémentaires, en produisant des pièces relatives à son activité indépendante ainsi que des pièces médicales, ayant ainsi eu largement la possibilité de s'exprimer devant la présente juridiction, qui dispose d'un plein pouvoir d'examen (cf. ATF 127 V 431 consid. 3d/aa p. 437). Le grief tiré de la violation du droit d'être entendu est dès lors mal fondé.</w:t>
      </w:r>
    </w:p>
    <w:p>
      <w:r>
        <w:rPr>
          <w:b/>
        </w:rPr>
        <w:t>E. 4</w:t>
      </w:r>
    </w:p>
    <w:p>
      <w:r>
        <w:t>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L’art. 28 al. 2 LAI prévoit que l’assuré a droit à un quart de rente s’il est invalide à 40% au moins, à une demie rente s’il est invalide à 50% au moins, à trois quarts de rente s’il est invalide à 60% au moins et à une rente entière pour un taux d’invalidité de 70% au moins. b) L’art. 8 LPGA définit l’invalidité comme l’incapacité de gain totale ou partielle qui est présumée permanente ou de longue durée. Est</w:t>
      </w:r>
    </w:p>
    <w:p>
      <w:r>
        <w:t>- 19 -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w:t>
      </w:r>
    </w:p>
    <w:p>
      <w:r>
        <w:rPr>
          <w:b/>
        </w:rPr>
        <w:t>E. 6</w:t>
      </w:r>
    </w:p>
    <w:p>
      <w:r>
        <w:t>a)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pour</w:t>
      </w:r>
    </w:p>
    <w:p>
      <w:r>
        <w:t>- 23 - dire qu’un changement de circonstances postérieur à la décision attaquée n’aurait pas à être pris en compte. Dès lors, il n’y a pas lieu de requérir la production d’un nouveau rapport médical au sujet du recourant en mains du cardiologue, lequel ne saurait apporter d'information utile supplémentaire pour la période considérée, ni de faire établir par le CHUV un certificat relatif à la cicatrice. De même, l'aggravation rapide des atteintes ostéoarticulaires dont le recourant déclare souffrir dans son acte de recours ne peut pas être prise en compte dans la mesure où elle intervient postérieurement à la date à laquelle la décision attaquée a été rendue. b) L'instruction étant complète sur le plan médical, il n’y a pas lieu de donner suite à la requête de mise en œuvre d’expertise formulée par le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469 consid. 4a, 122 III 223 consid. 3c). Une telle manière de procéder ne viole pas le droit d'être entendu (TF I 848/05 du 29 novembre 2006 consid. 4.2 avec références). Il n’y a pas lieu non plus de donner suite à la demande du recourant tendant à sa comparution personnelle (cf. TF 9C_254/2011 du 15 novembre 2011 consid. 2.1).</w:t>
      </w:r>
    </w:p>
    <w:p>
      <w:r>
        <w:rPr>
          <w:b/>
        </w:rPr>
        <w:t>E. 7</w:t>
      </w:r>
    </w:p>
    <w:p>
      <w:r>
        <w:t>Reste à déterminer le degré d’invalidité présenté par le recourant. a) A teneur de l’art. 16 LPGA, pour évaluer le taux d’invalidité, le revenu que l’assuré aurait pu obtenir s’il n’était pas invalide est comparé avec celui qu’il pourrait obtenir en exerçant l’activité qui peut</w:t>
      </w:r>
    </w:p>
    <w:p>
      <w:r>
        <w:t>- 24 - raisonnablement être exigée de lui après les traitements et les mesures de réadaptation, sur un marché du travail équilibré.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(ATF 137 V 334 consid. 3.1.1).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w:t>
      </w:r>
    </w:p>
    <w:p>
      <w:r>
        <w:t>- 25 - revenu qu'il faut attribuer à ces facteurs - étrangers à l'invalidité - et celle qui revient à la propre prestation de travail de l'assuré (TF 9C_394/2009 du 8 janvier 2010 consid. 2.3; TF 9C_236/2009 du 7 octobre 2009 consid. 3.3; TF I 83/97 du 16 octobre 1997 consid. 2c, in VSI 1998 p. 121, et I 432/97 du 30 mars 1998 consid. 4a, in VSI 1998 p. 255). L’office AI procède à un rassemblement des comptes individuels, en particulier lorsque le revenu n’est pas établi de manière transparente (ch. 3019 Circulaire sur l'invalidité et l'impotence dans l'assurance-invalidité [CIIAI] valable à partir du 1er janvier 2012).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Il n'y a matière à rectification que si la preuve stricte (ATF 117 V 265 consid. 3d) est rapportée qu'un employeur a effectivement retenu des cotisations AVS sur les revenus versés ou qu'une convention de salaire net a été fixée entre cet employeur et le salarié (cf. aussi art. 30ter LAVS); établir l'exercice d'une activité lucrative salariée n'y suffit pas (TF I 944/06 du 21 février 2008 consid. 3.1; TF I 401/05 du 17 juillet 2006 consid. 3).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D'une manière générale,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w:t>
      </w:r>
    </w:p>
    <w:p>
      <w:r>
        <w:t>- 26 - exigé d'elles, les preuves commandées par la nature du litige et des faits invoqués, faute de quoi elles risquent de devoir supporter les conséquences de l'absence de preuves (voir art. 28 al. 2 et 31 al. 1 LPGA; ATF 125 V 195 consid. 2 et les références; cf. ATF 130 I 183 consid. 3.2). d) Sont réputés revenu sans invalidité et revenu d’invalide déterminants, les revenus d’une activité lucrative présumés sur lesquels des cotisations AVS seraient perçues (art. 25 al. 1 RAI; RCC 1986 p. 432; TF 9C_699/2008 du 26 janvier 2009 consid. 3.1). D’autres sources de revenus provenant notamment du patrimoine de la personne assurée, de rentes et de pensions, de prestations d’assistance, d’allocations familiales ou pour enfants, ainsi que les créances sur d’autres assurances n’entrent pas en ligne de compte (ch. 3014 CIIAI). e) En l'espèce, le recourant a travaillé en qualité d'indépendant entre 1997 et 2008. L'intimé a calculé le revenu sans invalidité de 31’300 fr. en se fondant sur l'extrait du compte individuel de cet assuré. Il en ressort que le montant du revenu soumis à l'AVS a été stable de 1997 à 2008. Les éléments fiscaux produits ne permettent pas de s'écarter des chiffres retenus dans les comptes individuels; au demeurant, ils sont largement inférieurs aux revenus soumis à l'AVS selon l'extrait de compte individuel. Par ailleurs, il faut remarquer que la fortune imposable du recourant était nulle selon le fisc. Du reste, en 2002, le prix d'achat de la remorque de vente est remboursé en six annuités. Le certificat de dépôt du 25 avril 2008 pour le montant de 150'000 fr. indique que K.________ est créancière, et non pas le recourant. Quoi qu'il en soit, l'attestation de dépôt du 15 janvier 2008 a trait à un élément de fortune (ventre du bus [...] pour 50'000 fr.), qui n'entre pas en ligne de compte pour déterminer le revenu soumis à l'AVS. Le recourant n'a donc pas apporté d'éléments propres à remettre en cause l'extrait du compte individuel, si bien que rien ne justifie de s’en écarter. Par ailleurs, on ne voit pas non plus en quoi des mesures d'instruction supplémentaires, en particulier la mise en œuvre d’une expertise comptable, permettraient de parvenir à un autre résultat</w:t>
      </w:r>
    </w:p>
    <w:p>
      <w:r>
        <w:t>- 27 - puisque, du propre aveu du recourant, sa fiduciaire aurait égaré ses pièces et documents comptables. Dans une telle situation, la production du dossier pénal dans l'enquête dirigée contre la fiduciaire du recourant ne saurait pas non plus permettre d'apporter de nouveaux éléments relatifs à la comptabilité du recourant. Il faut ainsi rejeter les requêtes d'instructions complémentaires formulées à ce sujet par le recourant.</w:t>
      </w:r>
    </w:p>
    <w:p>
      <w:r>
        <w:rPr>
          <w:b/>
        </w:rPr>
        <w:t>E. 8</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3.1; TF 9C_236/2009 précité consid. 4.1; TF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w:t>
      </w:r>
    </w:p>
    <w:p>
      <w:r>
        <w:t>- 28 -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9C_236/2009 précité consid. 4.3; TF I 840/81 du 26 avril 1982, in RCC 1983 p. 246; voir également arrêt 8C_748/2008 du 10 juin 2009 consid. 4). b) En l'espèce, le recourant n'a pas de formation professionnelle. Il a travaillé comme forain indépendant, plus précisément comme marchand indépendant ambulant (vente de boissons et de petite restauration), selon le rapport du SMR du 16 novembre 2011. Il a gardé du matériel pour exercer de façon ponctuelle une activité de marchand de barbapapas ou de marrons chauds en fonction des saisons, travail qu'il semble avoir repris d'après la lettre du 26 septembre 2012 de son médecin traitant. Le recourant n'a jamais soutenu avoir reçu une aide importante de la part de tiers, en particulier de K.________. Le rapport initial établi le 7 septembre 2011 par l'intimé montre que le recourant travaille seul; du reste, la rubrique "relations de travail (collègues/employeur)" est restée vierge de toute indication. L'anamnèse professionnelle dans le rapport du SMR du 16 novembre 2011 ne parle pas de personnel dans l'activité de forain abandonnée en 2007, en précisant que l'aide d'un tiers est nécessaire pour l'installation du matériel et le port des charges dans les activités de marchand de marrons chauds ou de barbapapas. Compte tenu de la taille de l'entreprise du recourant, il est exclu qu'il confie dans une proportion importante les activités de vente à un tiers. Enfin, le recourant mentionne qu'il souffre du froid, auquel il est inévitablement exposé dans les activités qu'il exerce à l'extérieur. Dans de</w:t>
      </w:r>
    </w:p>
    <w:p>
      <w:r>
        <w:t>- 29 - telles conditions, il est légitime d'exiger du recourant qu'il mette fin à son activité indépendante au profit d'une activité salariée moins pénible et plus lucrative. Il ressort des conclusions du Dr D.________, dans le rapport SMR du 16 novembre 2011, que dans l'activité exercée auparavant, le recourant n’a qu’une capacité de travail de 40%; en revanche, dans une activité adaptée à ses limitations fonctionnelles, sa capacité de travail est de 80%.</w:t>
      </w:r>
    </w:p>
    <w:p>
      <w:r>
        <w:rPr>
          <w:b/>
        </w:rPr>
        <w:t>E. 9</w:t>
      </w:r>
    </w:p>
    <w:p>
      <w:r>
        <w:t>a) En l'absence d'un revenu effectivement réalisé - soit lorsque l'assuré, après la survenance de l'atteinte à la santé, n'a pas repris d'activité lucrative ou alors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(TF 9C_57/2008 du 3 novembre 2008 consid. 3; TF I 322/03 du 22 mars 2004 consid. 3). Pour fixer le revenu d'invalide, l'intimé s'est fondé sur les données économiques statistiques tirées de l'ESS pour fixer le revenu auquel le recourant pouvait prétendre en exécutant des activités simples et répétitives (niveau 4 de qualification). En l'absence d'un revenu effectivement réalisé,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en effet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9C_181/2008 du 23 octobre 2008 consid. 4.2.2; cf. TF I 171/04 du 1er avril 2005, publié in: REAS 2005 p. 240).</w:t>
      </w:r>
    </w:p>
    <w:p>
      <w:r>
        <w:t>- 30 -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9C_651/2008 du 9 octobre 2009 consid. 6.2.2.1; VSI 1999 p. 246 consid. 1 et les références). c) En l'espèce, le recourant était âgé de 53 ans le jour où la décision attaquée a été rendue. Il n'avait par conséquent pas atteint l'âge à partir duquel le Tribunal fédéral reconnaît généralement que ce facteur devient déterminant et nécessite une approche particulière (TF</w:t>
      </w:r>
    </w:p>
    <w:p>
      <w:r>
        <w:t>- 31 - 9C_355/2011 du 8 novembre 2011 consid. 4.4 et les arrêts cités). En dépit de son absence de formation et de ses limitations fonctionnelles, de nombreuses activités professionnelles dans des activités simples et répétitives lui sont encore accessibles, sans que l'intimé ne doive énumérer avec précision lesquelles sont tout à fait adaptées à ses limitations. d) Lorsque les barèmes de salaire (Enquête suisse sur la structure des salaires de l’Office fédéral de la statistique) sont utilisés pour déterminer le revenu d’invalide, pour le choix du salaire statistique, on peut prendre en compte, dans certaines conditions, non seulement le total de toutes les branches de l’économie mais également le salaire d’usage versé pour une activité similaire (TF 9C_632/2010 du 29 octobre 2010; ch. 3066 CIIAI). En l’absence de formation professionnelle dans une profession adaptée, il convient de se référer au revenu mensuel brut (valeur centrale) pour une activité simple et répétitive dans l’économie privée, tous secteurs confondus (RAMA 2001 no U 439 p. 347). L’OAI ne prend en considération, en règle générale, que des revenus annuels se rapportant à la même période; le calcul des revenus déterminants doit être effectué compte tenu de la situation existant à la date du début de la rente (ATF 129 V 222 et 128 V 174). Il établit, sur des bases temporelles identiques, le revenu acquis en tant que personne valide et celui acquis en tant qu’invalide, ainsi que les éventuelles modifications des revenus comparés pouvant avoir une incidence sur la rente jusqu’à la date de la décision. Le cas échéant, une autre comparaison des revenus peut être effectuée avant la décision (ch. 3016 CIIAI). En l'espèce, le salaire de référence est celui auquel peuvent prétendre les hommes effectuant des activités simples et répétitives dans le secteur privé, soit en 2010, 4'901 fr. par mois (ESS 2010, TA1, niveau de qualification 4). Il faut préciser que ce montant est fixé tous secteurs confondus (et non pas limité à la production et aux services comme mentionné dans la décision attaquée, qui indique également à tort se</w:t>
      </w:r>
    </w:p>
    <w:p>
      <w:r>
        <w:t>- 32 - fonder sur l'ESS 2008). Les salaires bruts standardisés mentionnés dans I’ESS correspondent à une semaine de travail de 40 heures par semaine et il convient de les adapter à la durée du travail hebdomadaire moyenne dans les entreprises pour l’année prise en considération (4'901 fr. x 41,6 heures : 40), si bien que le salaire annuel moyen s'élève à 61'164 fr. pour un travail à plein temps. d)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principe, le juge des assurances sociales ne peut, sans motif pertinent, substituer son appréciation à celle de l'administration (ATF 126 V 75 consid. 6; ATF 123 V 150 consid. 2). L’intimé a procédé à une déduction de 20% afin de tenir compte des limitations fonctionnelles, qui n’est pas critiquable. e) Le recourant peut exercer une activité légère de substitution à 80% (cf. consid. 5), si bien que le salaire hypothétique est de 48'931 francs (80% de 61'164 fr., chiffre arrondi). Après l'abattement de 20%, le revenu annuel d'invalide s'élève ainsi à 39'145 francs (chiffre arrondi). Le revenu sans invalidité de 31'300 fr. dans l'activité indépendante est ainsi inférieur au revenu avec invalidité de 39'145 fr. dans une activité salariée adaptée. En d'autres termes, le calcul de l'intimé indique qu'une activité salariée dans une activité adaptée génère davantage de revenu que l'exercice de la profession d'indépendant choisie et poursuivie au moins partiellement par le recourant. Sur le marché général du travail, la méthode de comparaison des revenus montre que ce dernier n'a subi aucune perte de gain en raison de son état de santé par rapport à sa situation antérieure d'indépendant s'il accepte d'exercer une</w:t>
      </w:r>
    </w:p>
    <w:p>
      <w:r>
        <w:t>- 33 - activité salariée adaptée à ses limitations fonctionnelles. Il en découle que le recourant ne peut pas prétendre à l'octroi d'une rente d'invalidité.</w:t>
      </w:r>
    </w:p>
    <w:p>
      <w:r>
        <w:rPr>
          <w:b/>
        </w:rPr>
        <w:t>E. 10</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Toutefois, dès lors que le recourant est au bénéfice de l'assistance judiciaire, ces frais sont laissés provisoirement à la charge de l'Etat. Il n'y a pas lieu d'allouer de dépens, le recourant n'obtenant pas gain de cause (art. 55 al. 1 LPA-VD ; cf. art. 61 let. g LPGA). c) Le Juge instructeur a accordé au recourant le bénéfice de l'assistance judiciaire, englobant l'exonération d'avances et des frais judiciaires, ainsi que l'assistance d'office d'un avocat. Dans son décompte du 19 février 2013, l'avocate Lise-Marie Gonzalez Pennec a annoncé 9 heures et 6 minutes, ce qui représente 1'638 fr. (au tarif de 180 fr. l'heure), plus TVA de 8% (131 fr. 04), soit 1'769 fr. 05. S'y ajoutent les débours par 102 fr. 20, plus TVA de 8% (8 fr. 17), soit 110 fr. 40. Le total des opérations de l'avocate d'office s'élève donc à 1'879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