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ZD12.015450 vom 25. März 2013</w:t>
      </w:r>
    </w:p>
    <w:p>
      <w:r>
        <w:t>VD Tribunal cantonal, 2013-03-25, FR</w:t>
      </w:r>
    </w:p>
    <w:p>
      <w:r>
        <w:rPr>
          <w:b/>
        </w:rPr>
        <w:t xml:space="preserve">Quelle: </w:t>
      </w:r>
      <w:r>
        <w:t>https://mcp.opencaselaw.ch/entscheid/vd_gerichte_ZD12.015450</w:t>
      </w:r>
    </w:p>
    <w:p>
      <w:r>
        <w:t>FR: VD_GERICHTE ZD12.015450 du 25 mars 2013</w:t>
      </w:r>
    </w:p>
    <w:p>
      <w:r>
        <w:t>IT: VD_GERICHTE ZD12.015450 del 25 marzo 2013</w:t>
      </w:r>
    </w:p>
    <w:p>
      <w:pPr>
        <w:pStyle w:val="Heading2"/>
      </w:pPr>
      <w:r>
        <w:t>Erwägungen</w:t>
      </w:r>
    </w:p>
    <w:p>
      <w:r>
        <w:rPr>
          <w:b/>
        </w:rPr>
        <w:t>E. 2</w:t>
      </w:r>
    </w:p>
    <w:p>
      <w:r>
        <w:t>et la référence citée ; TF 9C_860/2008 du 19 février 2009 consid. 2.1). Au terme de la procédure de révision ouverte en septembre 2004, l’OAI n'a pas rendu de décision formelle dans laquelle seraient mentionnés les différents éléments ayant servi de base au maintien du droit à la demi-rente. Le point de savoir si les conditions d'une révision du droit à la rente sont réunies doit par conséquent être tranché en comparant les faits tels qu'ils se présentaient au moment de la décision initiale d'allocation de rente du 6 novembre 2003 et les circonstances au moment de la décision sur opposition litigieuse, sans égard à la communication adressée au recourant le 10 avril 2006. e)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f) En l'espèce, il convient donc de déterminer si un changement important des circonstances propre à influencer le degré</w:t>
      </w:r>
    </w:p>
    <w:p>
      <w:r>
        <w:t>- 13 - d'invalidité s'est produit depuis la décision initiale du 6 novembre 2003 et s’il justifie la suppression de la rente décidée par l'office intimé le 19 mars 2012. Sur le plan médical, il ressort des renseignements obtenus auprès du Dr B.________, que l'état de santé du recourant demeure stationnaire, respectivement qu'il n'a pas subi de modification significative depuis la décision initiale du 6 novembre 2003. La capacité de travail effective de l'assuré est toujours de 50 %. Ces points ne sont au demeurant pas discutés par les parties et ne constituent ainsi pas des motifs de révision. Reste à examiner si la situation économique de l'assuré s'est modifiée au point de légitimer la suppression de son droit à une rente. Selon l'art. 31 al. 1 LAI, si un assuré ayant droit à une rente perçoit un nouveau revenu ou que son revenu existant augmente, sa rente n'est révisée, conformément à l'art. 17 al. 1 LPGA, que si l'amélioration du revenu dépasse 1'500 fr. par an. Le Tribunal fédéral a par ailleurs confirmé que l'art. 31 LAI s'applique aussi bien à la perception d'un nouveau revenu qu'à l'augmentation d'un revenu existant (TF 9C_518/2011 du 18 janvier 2012 consid. 3.3). En l’espèce, le changement d’employeur intervenu à la date du 1er avril 2008 n’a entraîné ni modification du taux d’activité, ni modification du salaire mensuel brut, lequel est demeuré de 3'800 fr. Cependant, l’employeur a progressivement accordé des augmentations de salaire à l’assuré, celui-ci gagnant 4’000 fr. dès le 1er juillet 2008, 4’200 fr. dès le 1er janvier 2009 et 4'300 fr. dès le 1er janvier 2010. Ce dernier salaire est demeuré inchangé depuis lors, de telle sorte que l’augmentation du revenu annuel est nettement supérieure à 1'500 fr. d’une part et durable d’autre part. Elle constitue donc un motif de révision. g) L'évaluation de l'invalidité peut être effectuée selon trois méthodes, entre lesquelles il y a lieu d'opter lors du premier examen du</w:t>
      </w:r>
    </w:p>
    <w:p>
      <w:r>
        <w:t>- 14 - droit d'un assuré à des prestations, de même que lors d'une révision de celui-ci : méthode générale de la comparaison des revenus (art. 16 LPGA ; ATF 130 V 343 précité consid. 3.4), méthode spécifique (ATF 130 V 97 consid. 3.3.1) et méthode mixte (ATF 130 V 393 ; 125 V 146 consid. 4).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consid. 3b).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w:t>
      </w:r>
    </w:p>
    <w:p>
      <w:r>
        <w:t>- 15 - l'intention de progresser sur le plan professionnel doit s'être manifestée par des étapes concrètes, telles que la fréquentation d'un cours, le début d'études ou la passation d'examens (ATF 96 V 29 ; TF 9C_188/2011 du 8 juin 2011 consid. 3 ; RAMA 2006 no U 568 p. 675 consid. 2).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569/06 du 23 février 2007 consid. 3.3.2). Dans tous les cas, il convient de prendre en considération l'ensemble des circonstances jusqu'au moment de la révision pour se prononcer sur l'évolution du revenu hypothétique sans invalidité (RAMA 2005 no U 533 p. 40 consid. 3.3 [U 339/03], no U 554 p. 315 consid. 2.2 [U 340/04]). On rappellera que le revenu annuel sans invalidité de l’assuré tel que soumis à AVS s’élevait à 82'550 fr. en 2001 et que dans le cadre de la procédure de révision, l’OAI a retenu un revenu avec invalidité de 55’900 francs et un revenu sans invalidité de 78’000 fr., soit le revenu</w:t>
      </w:r>
    </w:p>
    <w:p>
      <w:r>
        <w:t>- 16 - annuel brut que verserait l’actuel employeur pour une activité à 100 % sans invalidité. Seul le montant du revenu sans invalidité est contesté. Le recourant estime qu’il doit être tenu compte non pas du revenu sans invalidité correspondant à son poste actuel mais au poste occupé avant la survenance de l’atteinte à la santé, avec adaptation à l’évolution nominale, respectivement réelle des salaires. En l'occurrence, le recourant occupait la fonction de chef d'atelier dans le domaine des machines agricoles au sein de la société T.________ SA lors de la survenance de l'atteinte à la santé à l'origine de l'invalidité partielle. Il a poursuivi cette activité, moyennant certains réaménagements de son poste de travail et tout en conservant une fonction dirigeante. Son revenu, comme celui de son frère C.T.________, a progressé jusqu'à leur cessation d'activité en 2008. Cette progression n'a certes pas été régulière, car fonction des résultats de l'entreprise. Il n'en demeure pas moins que les compétences de dirigeants comme les compétences strictement techniques des deux frères auront probablement joué un rôle prépondérant dans l’évolution du chiffre d'affaires de l'entreprise. À défaut, leurs augmentations de salaire respectives auraient été sensiblement différentes et plus particulièrement, le revenu annuel brut du recourant aurait connu une progression limitée à la compensation du renchérissement. Tel n'est pas le cas en l'espèce. En effet, le revenu annuel brut, transposé à un taux d'activité de 100 %, a progressé de 16'250 fr. (98'800 – 82'550) entre 2001 et 2008, soit de 19.68 % alors que la croissance nominale des salaires atteignait 9.6 % pour la même période. En étant engagé, du moins officiellement, en qualité d'aide- mécanicien dans une entreprise active dans la révision de machines industrielles, le recourant a poursuivi son parcours professionnel dans un domaine d'activité similaire, à tout le moins très proche de celui occupé précédemment au sein de la société familiale. On observera que les compétences professionnelles du recourant ont été immédiatement reconnues par son nouvel employeur dès l'instant où il lui a offert un revenu mensuel brut de 3'800 fr. identique à celui perçu en mars 2008 au</w:t>
      </w:r>
    </w:p>
    <w:p>
      <w:r>
        <w:t>- 17 - sein de la société T.________ SA. Cette similitude démontre que la progression du salaire du recourant entre 2001 et le 31 mars 2008 ne peut pas être imputée qu'à des facteurs extérieurs à sa personne. Dans le cas contraire, le nouvel employeur se serait contenté d’offrir le salaire annuel brut de 78'000 fr. réduit de 50 %, soit 3'250 fr. par mois. Les rapides augmentations de salaire accordées par le nouvel employeur, largement supérieures à la compensation du renchérissement, ne font que confirmer que ce sont les seules qualités professionnelles du recourant qui ont influé sur cette progression salariale. L’employeur l’a au demeurant confirmé auprès du service de réadaptation de l’OAI en expliquant qu’un revenu supérieur au revenu usuel de 50 % se justifiait en raison de l’expérience et de la plus-value apportée par le recourant à l’entreprise. En conséquence, si le recourant était demeuré en bonne santé, il est manifeste que son revenu aurait progressé tant en raison de ses qualités professionnelles particulières qu’en raison de la compensation du renchérissement. En l’espèce, il n’existe aucun motif pertinent permettant de déroger au principe de la prise en compte du salaire réalisé en dernier lieu par l'assuré avant l'atteinte à la santé pour déterminer le revenu hypothétique sans invalidité. Cela étant, la seule adaptation du salaire annuel brut de 82’550 fr. à l'évolution des salaires nominaux pour les hommes de 2001 à 2011 (13.4 %) amène à un revenu annuel de 93'611 fr. 70. La perte de gain s’élevant à 37'711 fr. 70 (93'611 fr. 70 – 55'900), le degré d’invalidité est de 40.29 %. A.T.________ a ainsi droit à un quart de rente d’invalidité de ce seul fait. Plus encore, en prenant en compte la croissance du salaire réel du recourant au sein de la société T.________ SA et la progression des salaires nominaux entre 2008 et 2011, le degré d’invalidité s’élève à 45.49 %. En effet, sur la base du salaire mensuel brut de 3'800 fr. versé au recourant en 2008, 13e salaire en sus, son revenu annuel brut pour une</w:t>
      </w:r>
    </w:p>
    <w:p>
      <w:r>
        <w:t>- 18 - activité à 100 % aurait été de 98'800 fr. Après adaptation à l’évolution des salaires nominaux de 2008 à 2011 (3.8 %), le revenu annuel brut se serait élevé à 102'554 fr. 40, soit une perte de gain de 46'654 fr. 40 (102'554.40 – 55’900) induisant un degré d’invalidité de 45.49 %. Cela étant, le recours doit être admis et la décision de l'OAI réformée en ce sens que A.T.________ a droit à un quart de rente d'invalidité. Les prestations versées à tort ne peuvent être restituées, dans la mesure où l'OAI ne l'a pas demandé dans le délai d'une année dès la connaissance des faits (art. 25 al. 2 LPGA). En vertu de l'art. 88bis al. 2 let. a RAI [règlement du 17 janvier 1961 sur l'assurance-invalidité, RS 831.201], la diminution de la rente prend effet au plus tôt le premier jour du deuxième mois qui suit la notification de la décision, soit en l'espèce le 1er mai 2012.</w:t>
      </w:r>
    </w:p>
    <w:p>
      <w:r>
        <w:rPr>
          <w:b/>
        </w:rPr>
        <w:t>E. 4</w:t>
      </w:r>
    </w:p>
    <w:p>
      <w:r>
        <w:t>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(arrêt de la Cour des assurances sociales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et mis à la charge de l'intimé qui succombe. Le recourant, qui obtient gain de cause et qui est assisté d'un mandataire professionnel, a droit à l'octroi de dépens (art. 55 LPA-VD et art. 61 let. g LPGA). Le montant de ces derniers étant déterminé, sans</w:t>
      </w:r>
    </w:p>
    <w:p>
      <w:r>
        <w:t>- 19 - égard à la valeur litigieuse, d'après l'importance et la complexité du litige, il convient de les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