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ZD12.010855 vom 23. April 2013</w:t>
      </w:r>
    </w:p>
    <w:p>
      <w:r>
        <w:t>VD Tribunal cantonal, 2013-04-23, FR</w:t>
      </w:r>
    </w:p>
    <w:p>
      <w:r>
        <w:rPr>
          <w:b/>
        </w:rPr>
        <w:t xml:space="preserve">Quelle: </w:t>
      </w:r>
      <w:r>
        <w:t>https://mcp.opencaselaw.ch/entscheid/vd_gerichte_ZD12.010855</w:t>
      </w:r>
    </w:p>
    <w:p>
      <w:r>
        <w:t>FR: VD_GERICHTE ZD12.010855 du 23 avril 2013</w:t>
      </w:r>
    </w:p>
    <w:p>
      <w:r>
        <w:t>IT: VD_GERICHTE ZD12.010855 del 23 aprile 2013</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w:t>
      </w:r>
    </w:p>
    <w:p>
      <w:r>
        <w:t>- 14 -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w:t>
      </w:r>
    </w:p>
    <w:p>
      <w:r>
        <w:t>- 15 - 133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 probante s'il remplit les exigences requises par la jurisprudence (TFA I</w:t>
      </w:r>
    </w:p>
    <w:p>
      <w:r>
        <w:t>- 16 - 573/04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4. Dans le cas présent, dans son recours, la recourante fait essentiellement valoir que l'examen effectué par le Dr T.________ a été bref et que son avis est trop sommairement motivé. Elle ajoute présenter un ensemble de troubles qui n'a pas été valablement investigué et produit des pièces attestant d'atteintes à la santé sur les plans somatiques et psychiatriques. Il convient dès lors d'examiner ces deux aspects. a) Sur le plan psychique, dans son expertise du 9 novembre 2011, requise par l'OAI, le Dr T.________ n'a retenu aucun diagnostic avec répercussion sur la capacité de travail et a posé le diagnostic sans répercussion sur la capacité de travail de dysthymie. La capacité de travail exigible a été évaluée à 100% dans l'activité habituelle comme dans une activité adaptée. Dans son appréciation du cas, l'expert a retenu la présence d'éléments d’un tableau de dépression chronique de l’humeur, mais dont la sévérité était insuffisante pour justifier actuellement un trouble dépressif récurrent léger. Il a constaté un moral bon, sans irritabilité ni tristesse, avec ruminations existentielles sans idées noires, une fatigabilité anamnestique sans trouble de concentration ni de mémoire, une anhédonie partielle, sans repli social, un sommeil perturbé par des maux de tête qui retardaient l’endormissement, et un appétit fluctuant. Le tableau était fluctuant avec des périodes d'isolement le 75% du temps et des périodes où l'assurée vaquait à ses occupations le 25%</w:t>
      </w:r>
    </w:p>
    <w:p>
      <w:r>
        <w:t>- 17 - du temps, évoquant le diagnostic de dysthymie. L'assurée restait cependant capable de faire face aux exigences élémentaires de la vie quotidienne. En outre, il n'y avait pas de symptomatologie dépressive ou anxieuse incapacitante, de signe floride de la série psychotique ni d'éléments selon la CIM-10 allant dans le sens d'un trouble de la personnalité. La symptomatologie était sans grande intensité ni détresse, sans comorbidité psychiatrique ni repli social. Le Dr T.________ n'a par ailleurs pas constaté de signe de dépression majeure, de décompensation psychotique, d’anxiété généralisée incapacitante, de trouble phobique, de trouble de personnalité morbide, de syndrome douloureux somatoforme persistant incapacitant, de perturbation d’environnement psychosocial ni de limitation fonctionnelle psychiatrique. Concernant les autres pièces médicales figurant au dossier, l'expert a écarté le diagnostic d'état dépressif récurrent retenu par le Dr F.________, en l'absence d'antécédents médicaux antérieurement à 2009 et de critères au sens de la CIM-10. A ce sujet, on ajoutera que ce médecin n'est pas psychiatre et qu'il se base, dans son rapport du 14 mai 2011, sur une argumentation limitée, de sorte qu'il ne saurait valablement infirmer les conclusions de l'expert. Le Dr T.________ a également écarté le diagnostic d'épisode dépressif moyen retenu par le Dr H.________, étant donné que les critères selon la CIM-10, d'un point de vue anamnestique ou clinique, n'étaient pas remplis; en l'absence d'anesthésie psychique, d'émoussement affectif et de reviviscence, il ne pouvait y avoir de syndrome de stress post traumatique. On relèvera en outre que les avis au sujet de la capacité de travail des Drs F.________ et H.________, qui sont respectivement médecin traitant et psychothérapeute traitant de l'assurée, doivent être appréciés avec les réserves d'usage. Ces médecins n'ont du reste pas constaté d'élément objectif qui n'aurait pas été pris en compte par l'expert. Quant au rapport du 30 octobre 2012 du Dr F.________ et de la psychologue K.________, ce document ne saurait être déterminant dans le cadre du présent litige en tant qu'il se rapporte à la situation de fait postérieure à la date déterminante de la décision attaquée, soit le 15</w:t>
      </w:r>
    </w:p>
    <w:p>
      <w:r>
        <w:t>- 18 - février 2012. En effet, le juge des assurances sociales apprécie la légalité des décisions attaquées en principe d'après l'état de fait existant au moment où la décision litigieuse a été rendue (consid. 2 ci-dessus et les arrêts cités). On ajoutera que le Dr F.________ et la psychologue K.________ ne se prononcent pas explicitement à l'aune des critères de la CIM-10, qu'ils sont peu affirmatifs au sujet de la capacité de travail de l'assurée, que leur appréciation du cas semble moins motivée que celle du Dr T.________ et qu'ils se sont prononcés dans le cadre d'un mandat de soins et non d'expertise, de sorte qu'on ne voit pas en quoi leur avis suffirait à remettre en cause les conclusions retenues par l'expert. Au demeurant, l'erreur factuelle dont se prévaut la recourante dans son écriture du 17 décembre 2012 est sans incidence dans la présente cause, étant donné qu'elle porte sur une date (juillet 2012) postérieure à la date de la décision attaquée. Lorsque la recourante invoque la brièveté de l'examen pratiqué par l'expert, il convient de préciser qu'une consultation, même de courte durée, n'exclut pas nécessairement une étude fouillée et complète du cas (TF I 533/06 du 23 mai 2007 consid. 5.6). Au surplus, se fondant sur des examens complets, une appréciation du cas claire et des conclusions dûment motivées, l'expertise du Dr T.________ satisfait aux critères permettant de lui reconnaître une pleine valeur probante. Il y a donc lieu de retenir que la recourante ne présente pas de limitation de sa capacité de travail en raison de ses troubles psychiques. Une éventuelle péjoration de son état de santé sur le plan psychique n'est intervenue que postérieurement à la date de la décision attaquée. b) Sur le plan somatique, la recourante se prévaut de plusieurs atteintes, soit de douleurs aux jambes nécessitant le port de supports plantaires, de fatigabilité, d'apnées du sommeil, de cervicalgies et de troubles neurologiques. Elle requiert la mise en œuvre d'une expertise pluridisciplinaire. Dans son rapport du 14 mai 2011, le Dr F.________ a retenu, sur le plan somatique, uniquement les diagnostics, sans effet sur la capacité</w:t>
      </w:r>
    </w:p>
    <w:p>
      <w:r>
        <w:t>- 19 - de travail, d'hypertension artérielle, de surcharge pondérale, de dyslipidémie et de hernie hiatale par glissement. Il n’y a aucune mention d’un syndrome d'apnées du sommeil, de problèmes orthopédiques ni de cervicalgies, ainsi que l'ont relevé les Drs Q.________ et C.________ dans leur avis médical du SMR du 26 avril 2012. Concernant plus particulièrement le syndrome d'apnée du sommeil, les Drs B.________ et E.________ ont relevé, dans leur rapport du 24 janvier 2012, que l'assurée avait, malgré des fuites du masque facial, une bonne tolérance au traitement d'apnées du sommeil. Le Dr F.________, dans son rapport du 20 mars 2012, a pour sa part fait état d'un traitement au CHUV en vue d'un CPAP auto-piloté. Il faut donc retenir, avec les médecins du SMR (avis médical précité), que les problèmes d'apnées du sommeil ne sauraient avoir, dans le cadre du présent litige, de répercussion sur la capacité de travail. Une éventuelle aggravation – évoquée par le Dr H.________ dans son rapport du 30 octobre 2012, en relation avec des difficultés pour l'assurée de dormir plus de deux heures par nuit – serait quoi qu'il en soit survenue après la date de la décision attaquée, le 15 février 2012. Les cervico-brachialgies droites ont été mentionnées pour la première fois par le Dr F.________ dans ses lignes du 20 mars 2012, lequel n'a pas retenu de status clinique ni décrit de limitations fonctionnelles, ainsi que l'ont relevé les Drs Q.________ et C.________ dans leur avis médical du 26 avril 2012. Par ailleurs, le Dr F.________, ni aucun autre médecin, n'a précisé que cette affection entraînait à elle seule une diminution de la capacité de travail. S'agissant des douleurs aux jambes, les Drs Q.________ et C.________ ont relevé (avis médical précité) que l'assurée ne pouvait se prévaloir d'aucune prescription médicale relative à des supports plantaires. Du reste, une demande de l'assurée tendant à l'octroi de supports plantaires en tant que moyens auxiliaires a été rejetée par décision de l'OAI du 30 septembre 2010. La présence de douleurs chroniques envahissantes et d'une insensibilité matinale des mains ont été signalées pour la première fois par le Dr H.________ dans son rapport du 30 octobre 2012, de sorte que ces affections, au cas où elles auraient une</w:t>
      </w:r>
    </w:p>
    <w:p>
      <w:r>
        <w:t>- 20 - incidence sur la capacité de travail, sont survenues après le 15 février 2012, date de la décision attaquée. Enfin, aucun document médical ne fait état de troubles neurologiques ayant une incidence sur la capacité de travail. c) Il en résulte que jusqu'au moment de la décision attaquée, soit le 15 février 2012, les troubles tant somatiques que psychiques affectant l'assurée n'ont pas d'incidence sur sa capacité de travail dans une activité adaptée comme dans son activité habituelle. Dès lors, en l'absence d'incapacité de gain, la recourante n'a pas droit à une rente d'invalidité (art. 28 al. 2 LAI) ni à des mesures d'ordre professionnel (TF 9C_818/2007 du 11 novembre 2008 consid. 2.2; TF 8C_36/2009 du 15 avril 2009 consid. 4). Partant, le recours doit être rejeté, ce qui entraîne la confirmation de la décision attaquée. Cela étant, les atteintes à la santé dont se prévaut la recourante et qui sont survenues après le 15 février 2012 peuvent être considérées comme une nouvelle demande (cf. art. 87 RAI), si bien qu'il appartiendra à l'intimé de reprendre l'examen du droit pour la période postérieure à la décision attaquée. 5. Le dossier est suffisamment complet pour permettre à la Cour de céans de statuer en pleine connaissance de cause, de sorte qu'il n'y a pas lieu de donner suite à la requête de la recourante tendant à la mise en œuvre d'une expertise pluridisciplinaire.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w:t>
      </w:r>
    </w:p>
    <w:p>
      <w:r>
        <w:t>- 21 - 90 consid. 4b; 122 V 157 consid. 1d; TF 8C_764/2009 du 12 octobre 2009 consid. 3.2 et les références citées). 6.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Olivier Carré a produit la liste de ses opérations, laquelle a été contrôlée au regard de la procédure. En l'espèce, il convient d'allouer la somme de 1'691 fr. 70 pour l'ensemble des opérations accomplies dans la présente cause, débours et TVA compris (6.98 heures de travail au tarif horaire de 180 fr., frais et débours par 310 fr. et TVA à 8%). b)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