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ZD12.005337 vom 18. September 2013</w:t>
      </w:r>
    </w:p>
    <w:p>
      <w:r>
        <w:t>VD Tribunal cantonal, 2013-09-18, FR</w:t>
      </w:r>
    </w:p>
    <w:p>
      <w:r>
        <w:rPr>
          <w:b/>
        </w:rPr>
        <w:t xml:space="preserve">Quelle: </w:t>
      </w:r>
      <w:r>
        <w:t>https://mcp.opencaselaw.ch/entscheid/vd_gerichte_ZD12.005337</w:t>
      </w:r>
    </w:p>
    <w:p>
      <w:r>
        <w:t>FR: VD_GERICHTE ZD12.005337 du 18 septembre 2013</w:t>
      </w:r>
    </w:p>
    <w:p>
      <w:r>
        <w:t>IT: VD_GERICHTE ZD12.005337 del 18 settembre 2013</w:t>
      </w:r>
    </w:p>
    <w:p>
      <w:pPr>
        <w:pStyle w:val="Heading2"/>
      </w:pPr>
      <w:r>
        <w:t>Erwägungen</w:t>
      </w:r>
    </w:p>
    <w:p>
      <w:r>
        <w:rPr>
          <w:b/>
        </w:rPr>
        <w:t>E. 31</w:t>
      </w:r>
    </w:p>
    <w:p>
      <w:r>
        <w:t>août 2010, qu’elle produit, regrettant que ces problèmes n’aient pas été investigués et estimant pour le surplus que le rapport d’expertise du Dr M.________ ne peut se voir reconnaître valeur probante. Par ailleurs, elle doute du réalisme d’un reclassement professionnel, faisant valoir à titre subsidiaire qu’il convenait au minimum de mettre en place une mesure d’orientation professionnelle pour déterminer concrètement quelle activité était susceptible de convenir (voir à cet égard ci-après consid. 6 e). Elle estime enfin que l’enquête ménagère n’est plus à jour (voir à cet égard ci- après consid. 6 d). Sous l’angle médical, une expertise pluridisciplinaire a été confiée au [...]. Les Drs F.________, H.________, T.________ et L.________ ont rendu leur rapport le 28 mars 2013. Celui-ci a été rédigé sur la base de quatre examens de la recourante, et a été complété par un monitoring médicamenteux et un électroneuromyogramme (ENMG). Après avoir posé l’analyse du dossier, résumé l’histoire médicale de la recourante en tenant notamment compte des plaintes de cette dernière, les experts ont décrit son anamnèse puis résumé les status sous l'angle de la médecine interne, rhumatologique, neurologique et psychiatrique. Ils ont également examiné les documents d’imagerie, pour finalement établir une synthèse claire et exempte de contradiction, les conduisant à retenir une capacité de travail de 60% dans une activité adaptée, sans baisse de rendement. L’expertise du [...] remplit tous les réquisits jurisprudentiels devant conduire à lui reconnaître valeur probante et permet d’arrêter la capacité de travail de la</w:t>
      </w:r>
    </w:p>
    <w:p>
      <w:r>
        <w:t>- 33 - recourante à 60% dans une activité adaptée, à compter du 13 mai 2008. Compte tenu de la mise en œuvre de cette expertise judiciaire pluridisciplinaire, il n’y a pas lieu d’examiner les griefs de la recourante dirigés contre l’expertise du Dr M.________, respectivement contre un potentiel défaut d’instruction faute d’approche pluridisciplinaire. 6. Il convient encore d’examiner le calcul du taux d’invalidité auquel a procédé l’intimé pour parvenir à un taux de 33%.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137 V 334 consid. 3.1.1; ATF 134 V 322 consid. 4.1; ATF 130 V 343 consid. 3.4; ATF 128 V 29 consid. 1; TF 8C_708/2007 du 21 août 2008 consid. 2.1).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que l'on s'en écarte et que l'on recoure aux données statistiques résultant de l'Enquête suisse sur la structure des salaires (ci-après: ESS) éditée par l'Office fédéral de la statistique (cf. TF 9C_910/2010 du 7 juillet 2011, consid. 4.4.2 et TFA I 201/06 du 14 juillet 2006, consid. 5.2.3, avec les références citées).</w:t>
      </w:r>
    </w:p>
    <w:p>
      <w:r>
        <w:t>- 34 -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Pratique VSI 5/1999 p. 182). b) En l’espèce, la recourante ne conteste pas le revenu retenu sans invalidité, arrêté à 42'648 fr. 60, et qui doit être confirmé, savoir le revenu de 41'891 fr. 20 réalisé en 2009 (cf. entretien téléphonique du 6 mai 2009), indexé pour 2011, pour un taux d'activité de 80%. Pour fixer le revenu avec invalidité, dans la mesure où l’activité habituelle d’aide soignante n’est pas adaptée et que la recourante doit désormais rechercher une activité adaptée à ses limitations fonctionnelles, il convient de procéder à une approche théorique de la capacité de gain. A cet égard, le salaire médian réalisé par les femmes en 2010, dans des activités simples et répétitives, était de 4'225 fr. par mois, soit 50'700 fr. par année. Compte tenu d’un horaire de travail hebdomadaire dans les entreprises de 41.7 heures en moyenne en 2011 (La Vie économique, n° 10-2012, tableau B 9.2, p. 94) et de l’indexation (1%) (La Vie économique, n° 10-2012, tableau B 10.2, p. 95), c’est un revenu de 53'383 fr. 30 qu’il y a lieu de retenir à 100%, correspondant à un revenu de 32'029 fr. 98 à 60%.</w:t>
      </w:r>
    </w:p>
    <w:p>
      <w:r>
        <w:t>- 35 - c) La recourante soutient que l’abattement devrait être porté à 25%.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ATF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l’occurrence, il n’y a pas lieu de s’écarter de l’abattement de 15% retenu par l’intimé qui tient compte des limitations fonctionnelles de la recourante, son âge, le genre de permis de travail qu'elle détient et le taux d'activité ne justifiant pas de procéder à un abattement plus élevé. Il en résulte que le revenu avec invalidité de 32'029 fr. 98 à 60% doit être réduit à 27'225 fr. 48 compte tenu de l’abattement de 15%.</w:t>
      </w:r>
    </w:p>
    <w:p>
      <w:r>
        <w:t>- 36 - Comparé au revenu de 42'648 fr. 60 sans invalidité, il en résulte un préjudice économique de 15'423 fr. 12, qui correspond à un taux d’invalidité de 36,16% pour la part active. S’agissant de la part ménagère de 20%, l’empêchement est de 19.10% (cf. let. d ci-après). Le taux d’invalidité de la recourante est ainsi le suivant: Part Empêchement Degré d’invalidité Active 80% 36,16% 28,928 % (80 x 36.16 : 100) Ménagère 20% 19,10% 3,82% Degré d’invalidité: 32,748%, arrondi à 33%. d) La recourante soutient encore qu’il conviendrait de mettre en œuvre une nouvelle enquête ménagère. Il apparaît pourtant que le rapport d'enquête économique sur le ménage a été élaboré par une enquêtrice qualifiée qui avait connaissance du dossier médical de la recourante et s'est rendue au domicile de cette dernière. Elle y a entendu l'intéressée et a tenu compte des indications de celle-ci. L'enquêtrice a détaillé les empêchements dus à l'invalidité tels qu'observés pour chacun des travaux ménagers exécutés par la recourante. Elle a évalué ces empêchements en tenant notamment compte de l'aide fournie tant par le fils que par le mari de l'assurée, ceci en adéquation avec la jurisprudence topique (cf. consid. 3c supra). S'il y a lieu de constater qu'au moment de la réalisation de l'enquête, en décembre 2008, l'atteinte à l'épaule gauche n'existait pas encore, celle-ci ayant été révélée par l'IRM du 31 août 2010, cette nouvelle atteinte ne</w:t>
      </w:r>
    </w:p>
    <w:p>
      <w:r>
        <w:t>- 37 - saurait modifier de manière significative l'appréciation de l'invalidité liée aux empêchements ménagers de la recourante. En effet, selon le rapport d'expertise du [...] du 28 mars 2013, cette atteinte entraîne des limitations dans des activités impliquant de travailler avec les bras au-dessus de l'horizontale de façon répétée ou soutenue, de porter à deux mains des charges lourdes et de porter des charges de plus de 5 kg à gauche, ou encore impliquant des mouvements répétitifs au niveau de l'épaule gauche. Il apparaît donc que l'atteinte à l'épaule gauche implique surtout pour la recourante qu'elle doive éviter d'effectuer des travaux lourds, pénibles ou répétitifs, ce qui est le cas du seul chef de ses atteintes lombaires. Dans la mesure où l'évaluation faite par l'enquêtrice tient déjà compte des difficultés de la recourante à effectuer tels types de travaux lourds et que le fils et le mari de la recourante l'aident, il ne se justifie pas de procéder à une nouvelle évaluation de ses empêchements ménagers. Partant, la Cour ne voit pas de motifs justifiant de se distancer du rapport d'enquête. Ce document constitue une base de décision fiable. L'OAI était dès lors fondé à retenir, dans sa décision, un empêchement de 19.10% dans la part ménagère de la recourante, correspondant à un degré d'invalidité de 3.82% (19.10% x 20%). Dans de telles circonstances, il ne se justifie pas de donner une suite favorable à la requête de la recourante tendant à la réalisation d'une nouvelle enquête économique sur le ménage. e) La recourante a enfin requis la mise en œuvre d’un stage d’orientation professionnelle pour déterminer les activités adaptées à ses limitations fonctionnelles. Or vu le large éventail d'activités simples et répétitives (qui correspondent à un emploi léger respectant les limitations fonctionnelles observées) que recouvre le marché du travail en général – et le marché du travail équilibré en particulier – (cf. TF I 383/06 du 5 avril 2007, consid. 4.4), il appert qu'un nombre significatif d'entre elles, ne nécessitant aucune formation spécifique, sont raisonnablement exigibles de la part de la recourante, sans qu’il ne faille mettre en œuvre un stage d’observation.</w:t>
      </w:r>
    </w:p>
    <w:p>
      <w:r>
        <w:t>- 38 - 7. Au vu de ce qui précède, le recours doit être rejeté et la décision rendue le 10 janvier 2012, confirmée. On relèvera toutefois que la présente appréciation ne préjuge pas, bien entendu, d'une éventuelle modification des faits déterminants postérieurement à la décision litigieuse, pouvant donner lieu à une nouvelle demande de prestations de l'AI sur la base de l'art. 17 LPGA (voir aussi l'art. 87 al. 3 RAI).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et mis à charge de la recourante. b) La recourante a toutefois été mise au bénéfice de l’assistance judiciaire, de sorte que les frais judiciaires, ainsi qu’une indemnité équitable au conseil juridique désigné d’office pour la procédure, seront supportés par le canton, mais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Anne- Sylvie Dupont a produit le 6 septembre 2013 la liste de ses opérations,</w:t>
      </w:r>
    </w:p>
    <w:p>
      <w:r>
        <w:t>- 39 - correspondant à 14 heures et 10 minutes de travail. Compte tenu d'un tarif horaire de 180 francs de l'heure, l'indemnité due à Me Dupont s'élève à 2'550 francs (art. 2 al. 1 let. a RAJ [règlement du 7 décembre 2010 sur l'assistance judiciaire en matière civile; RSV 211.02.3]), montant auquel s'ajoutent la TVA (au taux de 8%) par 204 francs. Elle a par ailleurs droit à l'indemnité forfaitaire prévue à l'art. 3 al. 3 RAJ pour ses débours, soit 108 fr., TVA incluse. Le montant total de l'indemnité s'élève donc à 2'862 francs. c) Vu l'issue du recours, il n’y a pas lieu d’allouer des dépens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