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ZD12.003817 vom 4. März 2014</w:t>
      </w:r>
    </w:p>
    <w:p>
      <w:r>
        <w:t>VD Tribunal cantonal, 2014-03-04, FR</w:t>
      </w:r>
    </w:p>
    <w:p>
      <w:r>
        <w:rPr>
          <w:b/>
        </w:rPr>
        <w:t xml:space="preserve">Quelle: </w:t>
      </w:r>
      <w:r>
        <w:t>https://mcp.opencaselaw.ch/entscheid/vd_gerichte_ZD12.003817</w:t>
      </w:r>
    </w:p>
    <w:p>
      <w:r>
        <w:t>FR: VD_GERICHTE ZD12.003817 du 4 mars 2014</w:t>
      </w:r>
    </w:p>
    <w:p>
      <w:r>
        <w:t>IT: VD_GERICHTE ZD12.003817 del 4 marzo 2014</w:t>
      </w:r>
    </w:p>
    <w:p>
      <w:pPr>
        <w:pStyle w:val="Heading2"/>
      </w:pPr>
      <w:r>
        <w:t>Erwägungen</w:t>
      </w:r>
    </w:p>
    <w:p>
      <w:r>
        <w:rPr>
          <w:b/>
        </w:rPr>
        <w:t>E. 4</w:t>
      </w:r>
    </w:p>
    <w:p>
      <w:r>
        <w:t>a) En l'espèce, à l'époque de l'octroi de la demi-rente en décembre 2009 et février 2010, il avait été constaté que le recourant présentait une incapacité de travail de 50% dans son activité d'aide de cuisine, en raison de cervicobrachialgies présentes depuis mars 2008 et d'une boiterie due à des séquelles d'une poliomyélite contractée dans l'enfance. Il avait été retenu que l'évolution sur le plan cardiaque était favorable, sans insuffisance cardiaque ni troubles du rythme. b) A l'appui de sa demande de révision, le recourant fait essentiellement valoir qu'il souffre de tremblements des membres supérieurs. Dans leur expertise du 16 mai 2011, les Drs Q.________ et P.________ ont constaté à l'examen clinique que l'assuré présente un très discret tremblement au niveau de la tête, un discret tremblement de la voix ainsi qu'un tremblement fin prédominant à la posture plus qu'à l'action. Ils ont expliqué que ces signes plaident en faveur d'un diagnostic organique de tremblement essentiel modéré dont les répercussions sur les activités sont mineures. Ils ont écarté le diagnostic de Parkinson, expliquant que le recourant ne présente pas de rigidité, de diminution du ballant des bras ou d'autres signes parlant en faveur d'un tel diagnostic. Ils ont également constaté qu'il n'y avait pas d'atteinte cérebelleuse ou</w:t>
      </w:r>
    </w:p>
    <w:p>
      <w:r>
        <w:t>- 20 - d'arguments suggérant une autre origine organique du tremblement. Ils ont par ailleurs expliqué que sur le tremblement d'origine organique, se greffe un tremblement "fonctionnel" d'origine psychogène et non organique dès lors que celui-ci est irrégulier, fluctuant et distractible, et varie selon que l'assuré se sait observé ou non. Ce tremblement fonctionnel s'inscrit dans le cadre d'une possible atteinte anxio-dépressive, car le patient a décrit avoir un moral bas, une anhédonie, un manque d'énergie, un arrêt des activités de la vie quotidienne ainsi que des troubles du sommeil. Les experts ont conclu que le problème principal du recourant est qu'il présente une atteinte anxio-dépressive et un tremblement fonctionnel; ils ont dès lors proposé une prise en charge multidisciplinaire neurologique et psychiatrique. Pour les experts, au plan strictement physique, le tremblement essentiel modéré du recourant n'a pas un impact déterminant sur sa capacité de travail dans son activité professionnelle habituelle d'aide de cuisine puisque celle-ci ne nécessite pas une grande stabilité et finesse de mouvement. Il n'y a pas lieu en conséquence d'augmenter son incapacité de travail au-delà du 50% déjà reconnu. Les experts ont toutefois réservé une éventuelle influence du trouble fonctionnel d'origine psychogène sur la capacité de travail du recourant. Il faut constater au vu de qui précède que le rapport d'expertise repose sur une anamnèse détaillée, des examens médicaux complets et les conclusions du rapport sont claires et dûment motivée, de sorte qu'il remplit les critères jurisprudentiels permettant de lui conférer pleine valeur probante. Il en ressort que du point de vue strictement organique, l'assuré présente un tremblement essentiel modéré qui n'a pas d'impact significatif sur la capacité de travail de 50% dans son activité habituelle, qui lui a déjà été reconnue dans le cadre de la première demande de rente. Les conclusions des experts emportent d'autant plus conviction qu'elles sont corroborées sur plusieurs points par celles du Dr X.________, neurologue consulté par le recourant à la demande de la Dresse U.________, ceci en particulier au sujet du fait que l'atteinte</w:t>
      </w:r>
    </w:p>
    <w:p>
      <w:r>
        <w:t>- 21 - organique du recourant ne permet pas d'expliquer l'ampleur du tremblement de ses membres supérieurs. Ce spécialiste a en effet expliqué que le tremblement était "bizarrement très variable et irrégulier", tout en constatant que l'examen neurologique était "dans les limites physiologiques" à part les séquelles de la poliomyélite déjà connues. On relèvera que contrairement à ce que soutient le recourant dans ses écritures, ce médecin a expressément exclu une maladie de Parkinson (voir son rapport du 17 novembre 2010 à la Dresse U.________). Il a par ailleurs évoqué, comme les experts du [...], la présence d'une possible atteinte psychique puisqu'il a relevé que la prescription d'une benzodiazépine à petite dose pouvait être envisagée. Il ressort du reste de l'expertise des Drs Q.________ et P.________ qu'un traitement de valium avait été instauré qui a permis d'améliorer les problèmes de sommeil du recourant (cf. expertise, p. 5). Enfin on relèvera que le Dr H.________ a, comme les experts Q.________ et P.________, observé que le tremblement des membres supérieurs du patient est totalement absent lors de certains gestes, en particulier lorsqu'il s'habille en ne se sachant pas observé. Les différents rapports de la Dresse U.________, qui estime que le recourant ne peut plus travailler, ne permettent pas de jeter le doute sur les conclusions de l'expertise des Drs Q.________ et P.________, de celle du Dr H.________ ou les conclusions du Dr X.________. En effet, elle s'est contentée dans un premier temps de constater l'existence du trémor des deux membres supérieurs, estimant qu'il était nettement handicapant depuis 2010, sans décrire plus précisément ce phénomène et sans s'interroger sur ses origines. Postérieurement à l'expertise détaillée des experts du [...], elle a estimé qu'aucun diagnostic n'avait été posé qui expliquerait les tremblements de son patient, et ce sans expliquer en quoi l'expertise serait lacunaire ou les diagnostics des experts du [...] infondés. Manifestement incomplets et insuffisamment motivé, ses conclusions n'emportent pas conviction. c) S'agissant de l'éventuelle influence du tremblement fonctionnel d'origine psychogène sur la capacité de travail du recourant, il y a lieu de considérer ce qui suit.</w:t>
      </w:r>
    </w:p>
    <w:p>
      <w:r>
        <w:t>- 22 - aa) Le Tribunal fédéral a dégagé au cours de ces dernières années un certain nombre de principes et de critères normatifs pour permettre d'apprécier – sur les plans médical et juridique – le caractère invalidant de syndromes sans pathogenèse ni étiologie claires et sans constat de déficit organique (cf. TF 9C_49/2013 du 2 juillet 2013, consid. 4.1). Selon la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La Haute Cour a toutefois reconnu qu'il existe des facteurs déterminés qui, par leur intensité et leur constance, rendent la personne incapable de fournir cet effort de volonté et a établi des critères permettant d'apprécier le caractère invalidant de ces syndromes (cf. ATF 130 V 352, consid. 2.2.3 et ATF 131 V 49, consid. 1.2). A cet égard, on retiendra au premier plan, la présence d'une comorbidité psychiatrique importante par sa gravité, son acuité et sa durée. Peut constituer une telle comorbidité un état dépressif majeur (ATF 130 V 358, consid. 3.3.1; ATF 132 V 65, consid. 4.2).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cela en dépit de l'attitude coopérative de la personne assurée. Plus ces critères se manifestent et imprègnent les constatations médicales, moins on admettra l'exigibilité de l'effort de volonté (TF I 81/07 du 8 janvier 2008, consid. 3.2 et la référence citée).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(TF 9C_49/2013 du 2 juillet 2013, consid. 4.1). Enfin, on conclura à l'absence d'une atteinte à la santé ouvrant le droit aux prestations d'assurance, si les limitations liées à</w:t>
      </w:r>
    </w:p>
    <w:p>
      <w:r>
        <w:t>- 23 -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demandes de soins, de grandes divergences entre les informations fournies par le patient et celles ressortant de l'anamnèse, le fait que des plaintes très démonstratives laissent l'expert insensible, ainsi que l'allégation d'un lourd handicap malgré un environnement social intact) (ATF 132 V 65, consid. 4.2). bb) En l'espèce, dès lors que les experts Q.________ et P.________ ont mis en évidence que le tremblement fonctionnel dont souffre le recourant n'a pas d'origine organique, il convient d'apprécier son éventuelle influence sur la capacité de travail du recourant à la lumière des principes rappelés ci-dessus. Si les experts en neurologie ont évoqué la présence chez le recourant d'une possible atteinte anxio-dépressive, celle-ci n'est selon toute vraisemblance pas d'une intensité suffisante pour justifier une incapacité de travail supérieure à celle déjà reconnue dans le cadre de la première demande de rente. En effet, la Dresse U.________, médecin traitant du recourant, a eu connaissance du rapport d'expertise neurologique mais n'a pas jugé nécessaire d'adresser son patient à un psychiatre. Par ailleurs, le traitement psychique se limite à la prescription de valium qui a du reste amélioré les difficultés de sommeil du recourant. A cela s'ajoute que le recourant n'est pas isolé socialement puisque, selon ses propres déclarations, il bénéficie du soutien de sa famille et de ses amis. Il ressort également de l'expertise neurologique, de l'expertise du Dr H.________ et implicitement du rapport du Dr X.________ que le tremblement fonctionnel est amplifié lorsque le recourant se sait observé. On peut raisonnablement en déduire que ce tremblement est moins prononcé au quotidien. Dans ces conditions, on admettra qu’il reste sans incidence notable sur la capacité de travail du recourant.</w:t>
      </w:r>
    </w:p>
    <w:p>
      <w:r>
        <w:t>- 24 - d) Au plan orthopédique, le Dr H.________ a expliqué que les talalgies gauches dont se plaint le recourant n'ont pas d'étiologie claire, si ce n'était un vague épaississement de l'aponévrose plantaire à l'insertion sur le calcanéum découvert à l'imagerie par résonance magnétique (ci- après: IRM). Il a estimé que le recourant est limité, d'un point de vue objectif, par son handicap à la jambe droite (séquelles de la poliomyélite) et que l'ostéochondrite du dôme astragalien gauche, également révélée par l'IRM, est susceptible de provoquer des douleurs à sa cheville gauche. Compte tenu de ces atteintes, le Dr H.________ considère que d'un point de vue strictement orthopédique, le recourant ne peut plus travailler debout, mais que dans une activité adaptée, c'est-à-dire assise, sa capacité de travail est totale. Il y a lieu de retenir que le rapport d'expertise du Dr H.________ repose sur des examens médicaux complets (examen clinique et bilan radiologique récent), contient une anamnèse détaillée, une appréciation claire de la situation médicale et est dûment motivé. Les experts ont pris en compte, en particulier, l'influence de l'atteinte de l'astragale gauche mise en évidence à l'IRM sur la capacité de travail du recourant. Dès lors, cette expertise remplit les critères jurisprudentiels permettant de lui conférer valeur probante. e) Enfin, on relèvera qu'au plan cardiologique, l'état de santé du recourant ne s'est pas péjoré depuis 2008, comme l'atteste le Dr R.________ dans son rapport médical du 21 mars 2012 où il explique que l'évolution après l'infarctus de 2008 est bonne, que la coronographie effectuée en 2010 montrait une bonne perméabilité des stents, et que le recourant ne se plaint pas de symptômes cardiovasculaires. Il ne ressort pas non plus des pièces du dossier que les cervicobrachialgies du recourant se seraient aggravées. Dans ces conditions, la capacité de travail de 50% en lien avec ces atteintes et les limitations fonctionnelles posées à l'époque de la première décision restent d'actualité. f) Au vu de ce qui précède, il y a lieu de retenir, à l'instar du SMR dans son avis médical du 13 juillet 2011, que le recourant présente une capacité résiduelle de travail de 50% dans une activité adaptée à ses limitations fonctionnelles, à savoir une activité sans stations debout et ne</w:t>
      </w:r>
    </w:p>
    <w:p>
      <w:r>
        <w:t>- 25 - nécessitant pas de mouvement fin des mains. Ces limitations fonctionnelles s'ajoutent à celles qui avaient été constatées par l'OAI à l'issue de la première demande de rente, à savoir: pas de travaux lourds, pas de travaux avec les membres supérieurs au-dessus de l'horizontale, pas de position statique de la nuque, pas de marche en terrain irrégulier (rapport médical du Dr F.________ du SMR du 14 avril 2009).</w:t>
      </w:r>
    </w:p>
    <w:p>
      <w:r>
        <w:rPr>
          <w:b/>
        </w:rPr>
        <w:t>E. 5</w:t>
      </w:r>
    </w:p>
    <w:p>
      <w:r>
        <w:t>Il convient encore de vérifier le calcul du taux d'invalidité auquel a procédé l'intimé. a) Selon l'art. 28a LAI, l'art. 16 LPGA s'applique à l'évaluation de l'invalidité des assurés exerçant une activité lucrative. En vertu de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Il s'agit donc de comparer deux revenus hypothétiques, soit le revenu hypothétique sans invalidité et le revenu hypothétique d'invalide. En vertu de la jurisprudence, le moment déterminant pour procéder à la comparaison des revenus est celui de la naissance du droit à une (éventuelle) rente d'invalidité (ATF 129 V 222, consid. 4.1; ATF 128 V 174, cf. également TF 9C_673/2010 du 31 mars 2011, consid. 3.3); les revenus avec et sans invalidité doivent alors être déterminés par rapport à un même moment et les modifications de ces revenus susceptibles d'influencer le droit à la rente survenues jusqu'au moment où la décision est rendue, doivent être prises en compte (TF I 511/03 du 13 septembre 2004, consid. 5.1). aa) Le revenu hypothétique de la personne valide se détermine, en règle générale, en établissant au degré de la vraisemblance prépondérante le revenu qu'elle aurait effectivement réalisé si elle était en bonne santé au moment déterminant. Le revenu sans invalidité doit être</w:t>
      </w:r>
    </w:p>
    <w:p>
      <w:r>
        <w:t>- 26 - évalué de la manière la plus concrète possible; c'est pourquoi il se déduit en principe du salaire réalisé en dernier lieu par l'assuré avant l'atteinte à la santé, en tenant compte de l'évolution des salaires jusqu'au moment de la naissance du droit à la rente (ATF 134 V 322 consid. 4.1; 129 V 222 consid. 4.3.1; TF 9C_651/2008 du 9 octobre 2009 consid. 6.1). bb)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(ATF 126 V 75, consid. 3b/bb; TFA I 171/04 du 1er avril 2005, consid. 4.2). On se réfère alors à la statistique des salaires bruts standardisés, en se fondant toujours sur la médiane ou valeur centrale (ATF 124 V 323 consid. 3b/bb).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cf. UELI KIESER, Bundesgesetz über den Allgemeinen Teil des Sozialversicherungsrecht (ASTG), in: Schweizerisches Bundesverwaltungsrecht (SBVR), Soziale Sicherheit, 2ème édition, Bâle 2007, ch. 25 p. 248).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w:t>
      </w:r>
    </w:p>
    <w:p>
      <w:r>
        <w:t>- 27 - de tenir compte des circonstances personnelles et professionnelle dans lesquelles se trouve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b) En l'espèce, le moment déterminant pour procéder à la comparaison des revenus est l'année 2011, et non 2010 comme l'a retenu l'OAI. En effet, la modification de l'état de santé du recourant entraînant de nouvelles limitations fonctionnelles et la nécessité d'un changement d'activité a été attestée au plus tôt le 26 octobre 2010 (voir rapport</w:t>
      </w:r>
    </w:p>
    <w:p>
      <w:r>
        <w:t>- 28 - d'expertise du Dr H.________ du 6 juin 2011), de sorte que la modification éventuelle du droit à la rente est reportée en janvier 2011 (cf. art. 88a RAI [règlement du 17 janvier 1961 sur l'assurance-invalidité, RS 831.201]; cf. TF 9C_238/2008 du 5 janvier 2009, consid. 5; TF I 798/04 du 4 novembre 2005, consid. 4). Pour fixer le revenu sans invalidité, l'OAI s'est basé sur le dernier salaire perçu par le recourant dans son activité d'aide de cuisine, en reprenant les indications du questionnaire de l'employeur du 19 janvier 2011. Le montant de 59'709 francs doit ainsi être confirmé. Pour fixer le revenu avec invalidité, dans la mesure où l'activité d'aide de cuisine n'est plus adaptée et que le recourant doit rechercher une activité adaptée à ses limitations fonctionnelles, il convient de procéder à une approche théorique de la capacité de gain. A cet égard, le salaire médian réalisé par les hommes en 2010 effectuant des activités simples et répétitives dans le secteur privé (production et service) s'élève à 4'901 francs par mois, soit 58'812 fr. par an part au 13ème salaire comprise. Compte tenu d'un horaire de travail hebdomadaire dans les entreprises de 41.7 heures en moyenne en 2011 (La Vie économique, n° 9-2013, Tableau B 9.2, p. 94) et de l'indexation de 1% de 2010 à 2011 (La Vie économique, n° 9-2013, Tableau B 10.2, p. 95) c'est un revenu de 61'924 fr. 60 qu'il convient de retenir à 100%, correspondant à un revenu de 30'962 francs à 50%. Le taux d'abattement de 15% appliqué par l'OAI sur le revenu hypothétique d'invalide paraît relativement bas compte tenu des limitations fonctionnelles, du taux d'activité et de l'âge de l'assuré. Le point de savoir si un abattement de 20% serait plus approprié peut toutefois demeurer ouvert. En effet, compte tenu d’un taux d’abattement de 15% à 20%, le revenu d’invalide est de 26'318 francs par an (30'962 – 4'644) à 24'770 francs par an (30'962 – 6'192).</w:t>
      </w:r>
    </w:p>
    <w:p>
      <w:r>
        <w:t>- 29 - Il résulte de la comparaison des revenus avec et sans invalidité que le taux d'invalidité du recourant se situe entre 55,92 % ([(59’709- 26’318 = 33'391 fr.) /59'709 fr.] x 100), et 59% ([(59’709-24’770= 34’939 fr.) /59'709 fr.] x 100), taux qui donne droit à une demi-rente d'invalidité, comme l'a retenu l'OAI. Il n'y a donc pas lieu d'augmenter la rente d'invalidité du recourant.</w:t>
      </w:r>
    </w:p>
    <w:p>
      <w:r>
        <w:rPr>
          <w:b/>
        </w:rPr>
        <w:t>E. 6</w:t>
      </w:r>
    </w:p>
    <w:p>
      <w:r>
        <w:t>Au vu de ce qui précède, le recours, mal fondé, est rejeté et la décision litigieuse confirmée. a) En dérogation à l'art. 61 let. a LPGA, la procédure de recours en matière de contestation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 et mis à la charge du recourant. b) Il n'y a pas lieu d'allouer des dépens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