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ZD12.000277 vom 19. Februar 2013</w:t>
      </w:r>
    </w:p>
    <w:p>
      <w:r>
        <w:t>VD Tribunal cantonal, 2013-02-19, FR</w:t>
      </w:r>
    </w:p>
    <w:p>
      <w:r>
        <w:rPr>
          <w:b/>
        </w:rPr>
        <w:t xml:space="preserve">Quelle: </w:t>
      </w:r>
      <w:r>
        <w:t>https://mcp.opencaselaw.ch/entscheid/vd_gerichte_ZD12.000277</w:t>
      </w:r>
    </w:p>
    <w:p>
      <w:r>
        <w:t>FR: VD_GERICHTE ZD12.000277 du 19 février 2013</w:t>
      </w:r>
    </w:p>
    <w:p>
      <w:r>
        <w:t>IT: VD_GERICHTE ZD12.000277 del 19 febbraio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les recours ont été déposés en temps utile devant le tribunal compétent. Ils remplissent les autres exigences légales de forme et sont par conséquent recevables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la recourante ne conteste pas les diagnostics retenus par les experts du W.________ dans leur rapport du 25 mai 2010 mais leur influence sur sa capacité de travail résiduelle, qui, selon elle, est</w:t>
      </w:r>
    </w:p>
    <w:p>
      <w:r>
        <w:t>- 17 - nulle, au mieux de 30 %. Pour corroborer ses allégations, elle se prévaut des avis médicaux de ses médecins traitants et de celui de la Dresse P.________. Elle fait également valoir que la Caisse de pensions de l'Etat de [...] lui a alloué une rente entière. La recourante conteste également le taux d'invalidité retenu par l'OAI en faisant valoir que, même dans l'approche théorique de comparaison des revenus, l'OAI devait tenir compte du fait que les experts avaient défini l'activité professionnelle encore exigible comme "une activité de secrétariat avec peu de stress et sans responsabilités". Or, elle soutient que dans une telle activité elle ne pourrait prétendre à un salaire "d'une secrétaire ayant des responsabilités" de sorte que le tableau comparatif des revenus doit être modifié en ce sens. Enfin, la recourante prétend que l'importance des limitations fonctionnelles qu'elle présente à son âge ne lui permet plus que d'envisager une activité autre qu'occupationnelle.</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w:t>
      </w:r>
    </w:p>
    <w:p>
      <w:r>
        <w:t>- 18 -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2 LAI, l'assuré a droit à un quart de rente s'il est invalide à 40 % au moins, à une demi-rente s'il est invalide à 50 % au moins, aux trois-quarts d'une rente s'il est invalide à 60 % au moins et à une rente entière s'il est invalide à 70 %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w:t>
      </w:r>
    </w:p>
    <w:p>
      <w:r>
        <w:t>- 19 -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rPr>
          <w:b/>
        </w:rPr>
        <w:t>E. 4</w:t>
      </w:r>
    </w:p>
    <w:p>
      <w:r>
        <w:t>a)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arrêt du 19 juin 2009, consid. 2.1). Du point de vue juridique, la fibromyalgie et les troubles somatoformes douloureux répondent aux mêmes règles lorsque se pose la question de leur caractère invalidant. La fibromyalgie est en effet une</w:t>
      </w:r>
    </w:p>
    <w:p>
      <w:r>
        <w:t>- 20 -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TF, 9C_815/2008, arrêt du 29 mai 2009).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 TF, 9C_547/2008, arrêt du 19 juin 2009 précité,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 en présence d'une comorbidité psychiatrique, il sera également tenu compte</w:t>
      </w:r>
    </w:p>
    <w:p>
      <w:r>
        <w:t>- 21 -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arrêt du 19 juin 2009 précité,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arrêt du 7 septembre 2006). b) En l'espèce, il n'est pas contesté que la recourante présente une fibromyalgie ainsi que des atteintes à la santé psychique. Ce ne sont ainsi pas tant les diagnostics indiqués dans le rapport d'expertise bidisciplinaire du W.________ qui sont litigieux que leur influence sur la capacité de travail de la recourante, partant sur le taux d'invalidité retenu par l'OAI.</w:t>
      </w:r>
    </w:p>
    <w:p>
      <w:r>
        <w:t>- 22 - L'intimé fonde sa décision de retenir une capacité de travail résiduelle de 50 % dans une activité adaptée sur l'avis de l’expert psychiatre, le Dr L.________, qui retient un trouble dépressif récurrent, épisode actuel moyen, avec une capacité de travail résiduelle de 50 %, alors que le psychiatre traitant, le Dr K.________, considère que l’épisode dépressif est sévère et relève que, selon la CID-10, un tel épisode entraîne une "incapacité de poursuivre ses activités sociales, professionnelles ou ménagères". c) L’expertise bidisciplinaire du W.________ repose sur un examen personnel de l'assurée en février 2010 ainsi que sur les pièces médicales recueillies par l'OAI. Elle récapitule l'anamnèse de l'assurée. Elle expose en outre les plaintes et données subjectives de l'intéressée ainsi que les résultats de l'examen clinique pratiqué sur elle (données objectives). Puis, les experts discutent de leurs constatations avant de répondre aux questions soulevées par l'OAI. Leurs conclusions, détaillées sont convaincantes. L’expertise du W.________ remplit ainsi tous les réquisits jurisprudentiels et elle doit être préférée à l’avis du médecin traitant s’agissant des aspects psychiatriques. d) Force est donc de constater que, sur le plan psychique, l’on ne peut retenir une comorbidité psychiatrique importante par sa gravité, son acuité et sa durée et ainsi considérer que la fibromyalgie de la recourante a une influence sur sa capacité de travail. Au demeurant, on ne saurait non plus retenir une perte d'intégration sociale dans toutes les manifestations de la vie puisqu'il ressort de l'anamnèse que la recourante continue à avoir des contacts sociaux. Cela étant, il faut toutefois relever que l’expert psychiatre retient que la fatigue, le manque d’énergie et le trouble de la personnalité sont source d'incapacité partielle de travail dans toute activité; il fixe à 50 % (4 heures par jour) le taux de capacité résiduelle de travail de la recourante. Pour les mêmes motifs qu’exposés précédemment, il n’y a pas</w:t>
      </w:r>
    </w:p>
    <w:p>
      <w:r>
        <w:t>- 23 - de raison de s’écarter de cette appréciation. Cela étant, le même expert indique que le trouble de la personnalité peut rendre difficile l’adaptation à un poste de travail avec des responsabilités et impliquant d’importants contacts relationnels, aux exigences de rendement. Il précise encore qu’une activité de secrétariat avec peu de stress et sans responsabilité serait adaptée et ne nécessiterait pas de réadaptation. Or, de la description faite par le Service du personnel du travail de la recourante avant l’atteinte à la santé, on peut déduire qu’elle occupait un poste de secrétaire de chef de service. Il ne s’agit à l’évidence pas d’un poste sans stress ni responsabilité ou exigences de rendement. Ainsi, contrairement à ce qu'a retenu l'OAI, ce travail n’est pas adapté aux limitations fonctionnelles d'ordre psychique décrites dans l'expertise. Ce qui ne signifie toutefois pas d'emblée que toute activité de type secrétaire ne serait pas adaptée à l'état de santé actuel de la recourante. Il n'empêche qu'une activité de secrétariat adaptée, donc sans responsabilité, sans stress ni exigences de rendement, implique une classification salariale inférieure, ce qui n’est vraisemblablement pas sans conséquence sur le degré d’invalidité puisque, dans le cas d'une personne sans activité lucrative comme en l'espèce, le degré d'invalidité résulte de la comparaison des revenus avec et sans invalidité. In casu, l'intimé, se fondant sur la prémisse que l’activité habituelle de secrétaire était adaptée aux limitations fonctionnelles indiquées par les experts, n’a pas jugé nécessaire de procéder à une comparaison des revenus mais s'est contenté de considérer que le degré d'invalidité équivalait au taux de la capacité résiduelle de travail (50 %). La Cour de céans ne disposant pas des éléments nécessaires à l'évaluation du degré d'invalidité de la recourante par comparaison des revenus, il convient de renvoyer la cause à l’intimé, à charge pour lui de procéder à l'instruction complémentaire nécessaire sur ce point. Pour ce motif déjà, les décisions entreprises doivent être annulées. Reste toutefois à examiner encore les griefs soulevés par la recourante quant à l'évaluation de son état de santé somatique et à ses conséquences sur la capacité de travail.</w:t>
      </w:r>
    </w:p>
    <w:p>
      <w:r>
        <w:t>- 24 - e) Sur le plan somatique, l’expert rhumatologue D.________ a posé comme diagnostic ayant une influence sur la capacité de travail une capsulite rétractile de l’épaule D. Il considère que cette affection pourrait limiter la capacité de travail de la recourante dans certaines activités mais pas dans celle de secrétaire, à condition toutefois que les travaux au-delà de l’amplitude maximale de l’articulation gléno-humérale soient exclus, d’où une diminution de rendement de 20 % au maximum (expertise, p. 21). Dans son rapport médical du 2 mars 2012, la Dresse P.________, rhumatologue, pose le même diagnostic que l'expert, à savoir une capsulite rétractile de l'épaule droite diagnostiquée en 2005. Toutefois, elle indique également une capsulite rétractile de l'épaule gauche diagnostiquée en 2007, ce qui est étonnant puisque c’est la première fois qu’une atteinte de ce type à l’épaule gauche est mentionnée dans le dossier médical de la recourante. Pour le surplus, la Dresse P.________ évoque des cervicalgies persistantes, sans hernie discale, en relevant que les dimensions canalaires sont limites dans le sens antéro- postérieur mais sans signe de myelopathie cervicale. Selon cette spécialiste, il existe aussi des dorso-lombalgies persistantes de degré moindre. Mais elle précise que la symptomatologie douloureuse est certainement aggravée par l’important déconditionnement musculaire lié à une grande sédentarité. Enfin, la Dresse P.________ indique des discrets signes d’arthrose nodulaire, une ténosynovite des fléchisseurs des rayons II et III de la main D, avec un discret syndrome du tunnel carpien irritatif. De l’ensemble de ces éléments, la rhumatologue tire la conclusion que l’incapacité de travail de la recourante est totale. Toutefois, comme le relève le Dr M.________ du SMR, la Dresse P.________ ne décrit aucune limitation fonctionnelle ni n’explique en quoi les atteintes entraînent une incapacité de travail totale. Dans ces conditions et dès lors que, l’expertise bidisciplinaire du W.________ remplit tous les requisits jurisprudentiels en matière de force probante (cf. consid. 4c supra), et que ses conclusions sur la capacité de travail de la recourante sont circonstanciées et convaincantes, elles doivent être préférées à celles de la Dresse P.________.</w:t>
      </w:r>
    </w:p>
    <w:p>
      <w:r>
        <w:t>- 25 - En définitive, on doit admettre avec l’OAI que, sur le plan somatique, la capacité de travail résiduelle de la recourante est de 100 % avec une diminution de rendement de 20 %. f) Pour le surplus, la Cour de céans considère que l'argumentation de la recourante, qui soutient qu'aucune activité professionnelle ne peut plus être exigée d'elle en raison de ses nombreuses et importantes limitations fonctionnelles et de son âge, sont sans fondement et contraires aux conclusions claires et convaincantes du rapport d'expertise du W.________ sur ce point. Quant à l'âge de la recourante (57 ans au moment où les décisions litigieuses ont été rendues), il est encore inférieur à la limite (60 ans) fixée par le Tribunal fédéral pour entrer en matière sur cette question.</w:t>
      </w:r>
    </w:p>
    <w:p>
      <w:r>
        <w:rPr>
          <w:b/>
        </w:rPr>
        <w:t>E. 5</w:t>
      </w:r>
    </w:p>
    <w:p>
      <w:r>
        <w:t>a) En conclusion, les recours doivent être admis, les décisions entreprises annulées et la cause renvoyée à l'OAI pour qu'il procède au complément d'instruction dans le sens des considérants et rende une nouvelle décision. b)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arrêt du 23 avril 2012, consid. 7). Le droit fédéral prime en effet le droit cantonal qui lui est contraire, à savoir la règle de l’art. 52 LPA-VD, selon laquelle des frais de procédure ne peuvent pas être exigés de la Confédération et de I’Etat. En l’espèce, compte tenu de l’ampleur de la procédure, les frais de justice doivent être arrêtés à 400 francs. c) Obtenant gain de cause, la recourante, assistée d'un mandataire professionnel pour la défense de ses intérêts, a droit 2'000 fr. de dépens, à la charge de l'OAI qui succombe (art. 61 let. g LPGA et 55 al. 1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