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ZD11.047851 vom 9. Juli 2012</w:t>
      </w:r>
    </w:p>
    <w:p>
      <w:r>
        <w:t>VD Tribunal cantonal, 2012-07-09, FR</w:t>
      </w:r>
    </w:p>
    <w:p>
      <w:r>
        <w:rPr>
          <w:b/>
        </w:rPr>
        <w:t xml:space="preserve">Quelle: </w:t>
      </w:r>
      <w:r>
        <w:t>https://mcp.opencaselaw.ch/entscheid/vd_gerichte_ZD11.047851</w:t>
      </w:r>
    </w:p>
    <w:p>
      <w:r>
        <w:t>FR: VD_GERICHTE ZD11.047851 du 9 juillet 2012</w:t>
      </w:r>
    </w:p>
    <w:p>
      <w:r>
        <w:t>IT: VD_GERICHTE ZD11.047851 del 9 luglio 2012</w:t>
      </w:r>
    </w:p>
    <w:p>
      <w:pPr>
        <w:pStyle w:val="Heading2"/>
      </w:pPr>
      <w:r>
        <w:t>Erwägungen</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et 129 V 222</w:t>
      </w:r>
    </w:p>
    <w:p>
      <w:r>
        <w:t>- 27 - consid. 4.3.1; TF 9C_651/2008 du 9 octobre 2009 consid. 6.1). A défaut de disposer de renseignements concrets fiables sur ce gain au moment de la décision administrative litigieuse, la jurisprudence considère que le revenu hypothétique peut être évalué sur la base des statistiques salariales, telles qu'elles résultent de l'enquête sur la structure des salaires (ESS) publiée par l'Office fédéral de la statistique (ATF 126 V 75 consid. 3b/aa et bb; TFA I 37/2004 du 13 janvier 2005, consid. 5.1.3 et I 138/2004 du 20 janvier 2005, consid. 4.2.4).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ESS ou sur les données salariales résultant des descriptions de postes de travail établies par la CNA (ATF 135 V 297 consid. 5.2 et 129 V 472 consid. 4.2.1; TF 8C_287/2010 du 18 novembre 2010, consid. 3). b) En l'espèce, il sied de relever d'emblée que la recourante ne conteste ni le revenu sans invalidité, ni le revenu d'invalide tels que retenus par l'OAI. aa) S'agissant du calcul du revenu réalisable sans invalidité, au vu du rapport d'enquête économique sur le ménage du 21 mars 2007, l'intimé a considéré, à raison, qu'il ne disposait pas de données suffisamment fiables pour établir au degré de la vraisemblance prépondérante ce que la recourante aurait effectivement pu réaliser au moment déterminant pour le calcul du droit à la rente (soit en 2006). Il</w:t>
      </w:r>
    </w:p>
    <w:p>
      <w:r>
        <w:t>- 28 - s'est ainsi fondé sur les données statistiques ESS. A cet égard, le salaire de référence auquel peuvent prétendre les femmes effectuant des activités simples et répétitives dans le secteur privé (production et service, ligne "Autres services collectifs et personnels") s'élève en 2006 à 3'813 fr. par mois, part au 13ème salaire comprise (ESS 2006, TA1; niveau de qualification 4, p. 25). Adapté à l'horaire de travail hebdomadaire moyen usuel dans les entreprises en 2006, soit 41,7 h. (La Vie économique, 12-2008, tableau B 9.2, p. 94), ce montant doit être porté à 3'975 fr. 05 ([3'813 fr. x 41,7] / 40), ce qui donne un revenu annuel brut réalisable en 2006 sans atteinte à la santé de 47'700 fr. 60 (et non 49'569 fr. comme retenu par l'intimé). bb) Le revenu réalisable avec invalidité nécessite de tenir compte de la capacité de travail raisonnablement exigible de 75 % depuis octobre 2006 dans une activité adaptée (cf. consid. 4d supra), ce qui donne un salaire hypothétique statistique s'élevant ainsi à 35'775 fr. 45 (47'700 fr. 60 x 75 / 100).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De jurisprudence constante, le Tribunal fédéral considère que la nature des limitations fonctionnelles présentées par une personne assurée peut constituer un facteur susceptible d’influer sur ses perspectives salariales (ATF 126 V 75 consid. 5a/bb et les références citées; TFA I 848/2005 du 29 novembre 2006, consid. 5.3.3).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w:t>
      </w:r>
    </w:p>
    <w:p>
      <w:r>
        <w:t>- 29 -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(TF 9C_280/2010 du 12 avril 2011). L'abattement de 10 % retenu en l'espèce apparaît adéquat au vu de l'ensemble des limitations fonctionnelles d'ordre somatique dont est atteinte la recourante. Partant l'autorité administrative a fait un usage correct de son pouvoir d'appréciation sans qu'une autre solution n'apparaisse plus judicieuse. Le revenu d'invalide s'élève ainsi en définitive à 32'197 fr. 90 ([35'775 fr. 45 x 90] / 100). Après comparaison entre le revenu hypothétique sans invalidité (47'700 fr. 60) et celui avec invalidité (32'197 fr. 90), il en résulte, dès le 1er octobre 2006, une perte de gain s'élevant à 15'502 fr. 70 (47'700 fr. 60 – 32'197 fr. 90), d'où un degré d'invalidité de 32,5 % ([15'502 fr. 70 / 47'700 fr. 60] x 100). c) On constate en définitive qu'à compter du 1er octobre 2006, passant de 100 % à 32,5 %, le degré d'invalidité de la recourante a subi une modification notable justifiant la suppression d'office du droit à la rente entière pour l’avenir au 31 décembre 2006 (art. 17 al. 1 LPGA et 88a al. 1 RAI, cf. consid. 3e supra).</w:t>
      </w:r>
    </w:p>
    <w:p>
      <w:r>
        <w:rPr>
          <w:b/>
        </w:rPr>
        <w:t>E. 6</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w:t>
      </w:r>
    </w:p>
    <w:p>
      <w:r>
        <w:t>- 30 -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 bis LAI). aa) En l'espèce, compte tenu de l'ampleur de la procédure, les frais de justice doivent être arrêtés à 400 francs. bb)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L’indemnité due au conseil d’office porte sur les opérations nécessaires à la conduite de la procédure elle-même, et qui entrent de surcroît dans le cadre temporel fixé par la décision d’octroi. En l'occurrence, Me Montalto a produit le 31 mai 2012 la liste de ses opérations, correspondant à 15 heures et 42 minutes de travail. Cette liste a été contrôlée au regard de la procédure et doit être réduite pour les raisons qui suivent. Il apparaît que Me Montalto était déjà intervenu pour contester le projet de décision de sorte qu'il connaissait le dossier, ce qui justifie la réduction du poste "étude du dossier". Par ailleurs, le temps consacré aux correspondances paraît excessif, de même que celui consacré à l'agendement des dossiers.</w:t>
      </w:r>
    </w:p>
    <w:p>
      <w:r>
        <w:t>- 31 - Cela étant, il y a lieu de retenir globalement une durée totale de 12 heures et 50 minutes de travail à un tarif horaire de 180 fr. (art. 2 al. 1 let. a RAJ [règlement du 7 décembre 2010 sur l'assistance judiciaire en matière civile, RS 211.02.3]). En tenant compte d'un taux de TVA de 8%, le montant des honoraires est de 2'494 fr. 80. Au demeurant, l'avocat d'office a droit au remboursement de tous les débours qui s'inscrivent raisonnablement dans l'exécution de sa tâche (ATF 122 I 1). Ceux-ci doivent être arrêtes à 31 fr., plus 2 fr. 50 de TVA (art. 2 al. 3 RAJ), soit 33 fr. 50. Le montant total de l'indemnité d'office s'élève donc à 2'528 fr. 30 (2'494 fr. 80 + 33 fr. 50), que l’on peut arrondir à 2'529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