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ZD11.044258 vom 27. Juli 2012</w:t>
      </w:r>
    </w:p>
    <w:p>
      <w:r>
        <w:t>VD Tribunal cantonal, 2012-07-27, FR</w:t>
      </w:r>
    </w:p>
    <w:p>
      <w:r>
        <w:rPr>
          <w:b/>
        </w:rPr>
        <w:t xml:space="preserve">Quelle: </w:t>
      </w:r>
      <w:r>
        <w:t>https://mcp.opencaselaw.ch/entscheid/vd_gerichte_ZD11.044258</w:t>
      </w:r>
    </w:p>
    <w:p>
      <w:r>
        <w:t>FR: VD_GERICHTE ZD11.044258 du 27 juillet 2012</w:t>
      </w:r>
    </w:p>
    <w:p>
      <w:r>
        <w:t>IT: VD_GERICHTE ZD11.044258 del 27 luglio 2012</w:t>
      </w:r>
    </w:p>
    <w:p>
      <w:pPr>
        <w:pStyle w:val="Heading2"/>
      </w:pPr>
      <w:r>
        <w:t>Erwägungen</w:t>
      </w:r>
    </w:p>
    <w:p>
      <w:r>
        <w:rPr>
          <w:b/>
        </w:rPr>
        <w:t>E. 20</w:t>
      </w:r>
    </w:p>
    <w:p>
      <w:r>
        <w:t>février 2009, les diagnostics retenus sont ceux de douleurs de la jonction dorsolombaire après fracture de D12, pose puis ablation d’un fixateur interne et probable irritation de la racine postérieure D12-L1 gauche, ainsi que celui de diabète de type Il avec surcharge pondérale. Le Dr V.________ note encore que la capacité de travail exigible comme chauffeur poids lourds est d’environ 50%, avec alors des risques de licenciement. Il relève que le handicap subsistant est à attribuer à l’accident du 17 avril 2007 et que d’un point de vue théorique et dans une activité parfaitement adaptée au rachis, permettant l’alternance des postures et sans port de charge, une capacité de travail de plus de 75% serait envisageable, mais il faudrait alors proposer une reconversion professionnelle. Il figure également au dossier de l'assureur-accidents un certificat médical du 4 juin 2011 du Dr R.________ à l’attention de l’assurance-chômage selon lequel le recourant est inapte au travail à 50% depuis le 1er juin 2010, avec la précision qu’il peut encore exercer une activité sans effort avec le dos avec changement de position.</w:t>
      </w:r>
    </w:p>
    <w:p>
      <w:r>
        <w:t>- 10 -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droit du recourant à une rente d’invalidité. 3. a)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t>- 11 - L’art. 28 al. 2 LAI prévoit que l’assuré a droit à un quart de rente s’il est invalide à 40% au moins, à une demie rente s’il est invalide à 50% au moins, à trois quarts de rente s’il est invalide à 60% au moins et à une rente entière pour un taux d’invalidité de 70% au moins.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 Pour pouvoir fixer le degré d’invalidité, l’administration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 et 105 V 156 consid. 1; TFA I 274/2005 du 21 mars 2006, consid. 1.2; TF I 562/2006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w:t>
      </w:r>
    </w:p>
    <w:p>
      <w:r>
        <w:t>- 12 -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TF 9C_1023/2008 du 30 juin 2009, consid. 2.1.1). 4. Le recourant conteste disposer d’une capacité résiduelle de travail de 80% (soit de 100% avec une baisse de rendement de 20%) dans une activité adaptée, contrairement à ce qu’a retenu l’intimé dans la décision litigieuse. Il soutient que le Dr V.________ ne s’est pas formellement déterminé sur sa capacité de travail résiduelle et que son expertise est incomplète, l’aspect psychiatrique devant en outre être instruit. L’intimé se réfère pour sa part à cette expertise. a) Sur le plan somatique, le Dr V.________ pose les diagnostics de dorsolombalgies faisant suite à une agression le 8 juillet 2009 avec chute d’environ 1,50 m sur le côté gauche, de status après fracture de D12 avec pose puis ablation d’un fixateur interne et d’état dépressif faisant suite à l’agression. Confirmant les observations faites à la suite de l’accident du 8 juillet 2009, en particulier par la Dresse B.________ qui diagnostique une contusion lombaire (cf. rapport médical du 29 août 2009), ainsi que par les Drs Q.________ et J.________, qui relèvent que le CT cervico-thoraco-abdominal réalisé le 8 juillet 2009 n’a pas mis en évidence de lésion traumatique, le Dr V.________ constate que l’événement du 8 juillet 2009 ne semble pas avoir généré de lésion objective sévère (cf. rapport d’expertise du 18 décembre 2009). Le Dr V.________ a examiné le</w:t>
      </w:r>
    </w:p>
    <w:p>
      <w:r>
        <w:t>- 13 - recourant une première fois le 19 février 2009, à la suite de l’accident que ce dernier a subi le 17 avril 2007 et qui lui a occasionné une fracture de D12. Le Dr V.________ relevait alors que la capacité de travail exigible comme chauffeur poids lourds était de 50%, alors qu'elle était de 75% dans une activité adaptée au rachis, permettant l’alternance des postures et sans port de charges. Dans son appréciation de décembre 2009, le Dr V.________ tient ainsi compte du fait que le recourant présente un rachis fragile et traumatisé en 2007. C’est donc en parfaite connaissance du dossier et des antécédents du recourant qu’il évalue la capacité de travail résiduelle à 80% dans un travail adapté, ne nécessitant pas le port de charges, ni de travail en porte-à-faux et permettant l’alternance des postures. L’appréciation du Dr V.________ n’est pas contredite par celle du Dr R.________, qui pose le diagnostic de fracture D12 opérée avec fixateurs le 17 avril 2007. Pour le médecin traitant, une activité adaptée pourrait être exercée à raison de quatre à six heures par jour. Ce n’est qu’en raison de l’âge du patient qu’il retient qu’une reconversion lui paraît difficile (cf. rapport médical du 20 janvier 2010). La feuille LAA produite en procédure, dont il résulte que le Dr R.________ continue à reconnaître une incapacité de travail totale, sans autres explications, ne permet pas de remettre en cause cette appréciation. Finalement, il convient de retenir que l’expertise du Dr V.________, établie à la suite d’un examen du recourant, en pleine connaissance de son dossier, qui tient compte de ses plaintes, de son anamnèse, et dont les conclusions sont claires et exemptes de contradictions, remplit les conditions jurisprudentielles pour se voir reconnaître valeur probante. C’est le lieu de rappeler que l’élément déterminant pour la valeur probante n’est ni l’origine du moyen de preuve ni sa désignation comme rapport ou comme expertise, mais bel et bien son contenu (ATF 125 V 351 consid. 3a, 122 V 157 consid. 1c et les références; TF 9C_1023/2008 du 30 juin 2009, consid. 2.1.1). En particulier, le fait que le Dr V.________ déclare ne pas avoir d’explications à fournir pour expliquer la froideur des deux pieds prédominant à gauche ne permet pas de nier valeur probante à son rapport. Au reste, ce spécialiste relève que les artères sont toutes palpées symétriquement, et que l’examen médical n’a pas changé depuis février</w:t>
      </w:r>
    </w:p>
    <w:p>
      <w:r>
        <w:t>- 14 - 2009. Enfin, le Dr V.________ a demandé une nouvelle radiographie de la colonne lombaire et constate qu’elle est superposable à celle réalisée lors de l’expertise précédente, sans nouvelle lésion traumatique ou aggravation du tassement de D12. Dans ces conditions, il convient donc de retenir que le recourant présente bien au plan somatique une capacité de travail résiduelle de 80%. b) Sur le plan psychiatrique, le Dr V.________ fait état d’un état dépressif faisant suite à l’agression de juillet 2009. Cela étant, ce médecin est spécialiste en rhumatologie, et si son rapport peut se voir accorder pleine valeur probante sur ce plan, tel n’est pas le cas en matière psychiatrique. Au demeurant, le Dr R.________, qui n’est pas non plus psychiatre, observe que l’état anxio-dépressif traité par le Dr T.________ est sans effet sur la capacité de travail (cf. rapport médical du 20 janvier 2010). Il convient encore de relever que même le psychiatre traitant, le Dr T.________, relève qu’il n’y a pas de dommage permanent à craindre sur le plan psychiatrique à la suite de l’événement du 8 juillet 2009, avec une bonne évolution (cf. certificat médical intermédiaire LAA du 24 février 2010). Ce médecin pose le diagnostic de trouble de l’adaptation, autres réactions à un facteur de stress sévère (agression physique) (F43.8) existant depuis le 8 juillet 2009. Il relève ainsi depuis cette date une humeur dépressive, mais note que l’évolution est pourtant progressivement favorable. Ce praticien retient certes une incapacité de travail totale comme chauffeur poids lourds, mais constate que la capacité de travail est entière au plan psychique, sous réserve d’une hyperalgie du dos (cf. rapport médical du 12 avril 2010 à l’OAI). Le psychiatre traitant a confirmé l’évolution favorable sur le plan psychiatrique dans son rapport médical du 5 juillet 2010 à l’OAI. Le même jour, le Dr T.________ s’est adressé par courrier au juge d’instruction chargé d’instruire l’accident survenu le 8 juillet 2009. A cette occasion, il lui a fait savoir que le recourant présentait un trouble de l’adaptation à un facteur de stress sévère ainsi qu’un status post-fracture de la colonne lombaire, savoir des diagnostics connus qu’il avait déjà posés dans les mois précédents. Il a</w:t>
      </w:r>
    </w:p>
    <w:p>
      <w:r>
        <w:t>- 15 - encore précisé que le recourant présentait depuis l’agression une humeur dépressive, ce qu’il indiquait déjà dans son rapport médical du 12 avril 2010 à l’OAI. Cela étant, le Dr T.________ ne s’est pas prononcé sur la capacité de travail du recourant lorsqu’il s’est adressé au juge d’instruction. Son courrier du 5 juillet 2010 n’apporte donc aucun élément supplémentaire dont il n’aurait pas été tenu compte. Il en résulte que si le Dr T.________ retient effectivement que l’accident de juillet 2009 a eu une influence au plan psychiatrique, il est d’avis que la capacité de travail est néanmoins entière à ce niveau. Dans ces conditions, il ne peut être fait grief à l’intimé de ne pas avoir, à la suite du rapport du Dr V.________, instruit plus avant la problématique psychiatrique. Le certificat médical du Dr T.________ produit en procédure, selon lequel le recourant nécessite une prolongation de son incapacité de travail de 100% du 8 novembre au 15 novembre 2011, qui n’est pas motivé, ne permet pas de contredire ce qui précède. 5. Cela étant constaté, encore faut-il déterminer le degré d’invalidité présenté par le recourant. a)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L’OAl retient un revenu sans invalidité de 61’200 fr., en se fondant sur les renseignements obtenus auprès de l’ancien employeur du recourant. Or il convient d’admettre, comme l’observe à juste titre ce dernier, que ce montant n’a pas été indexé de 2009 à 2010 (année d’ouverture du droit éventuel à la rente). Il convient dès lors de porter le revenu sans invalidité à 61’628 fr. 40 (cf. évolution des salaires nominaux selon le renchérissement de l'Office fédéral de la statistique [OFS], savoir une variation de + 0.7%). c) Pour établir le revenu que l’assuré pourrait réaliser malgré les atteintes à la santé dont il souffre (revenu d’invalide), la jurisprudence</w:t>
      </w:r>
    </w:p>
    <w:p>
      <w:r>
        <w:t>- 16 - admet de se référer, à certaines conditions, aux données statistiques de I’ESS (Enquête suisse sur la structure des salaires), publiées par l’Office fédéral de la statistique,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 U 439 p. 347). Les salaires bruts standardisés mentionnés dans I’ESS correspondent à une semaine de travail de quarante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d) En l’espèce, le recourant, sans formation professionnelle, a travaillé comme chauffeur poids lourds. Cette activité est considérée comme n’étant plus adaptée (cf. notamment le rapport médical du Dr W.________ du SMR du 27 octobre 2010). Il convient par conséquent de se référer aux données de I’ESS, en prenant pour base le niveau de rémunération pour des activités simples et répétitives dans le secteur privé, soit 4’806 fr. par mois en 2008 selon l'ESS 2008, TA niveau de qualification 4 – Principaux résultats (Neuchâtel, novembre 2009), respectivement 4'935 fr. par mois selon les résultats définitifs de l'ESS 2008 (Neuchâtel, 2010, publiés le 16 juin 2010). En procédant aux adaptations requises pour prendre en considération la durée du travail hebdomadaire dans les entreprises en 2008 (41.6 heures, La Vie Economique, 10-2010, p. 94, tableau B 9.2), on obtient un revenu annuel de 61'588 fr. 80. Après adaptation de ce chiffre à l’évolution des salaires nominaux de 2008 à 2010 (+ 2.90%; La Vie économique, 10-2011. p. 99 tableau B 10.2), on obtient un revenu annuel</w:t>
      </w:r>
    </w:p>
    <w:p>
      <w:r>
        <w:t>- 17 - de 63'374 fr. 88. Compte tenu d’un taux d’activité de 80% dans une activité adaptée, le salaire hypothétique est dès lors de 50'699 fr. 90. L’intimé a procédé à une déduction de 5% en indiquant tenir compte de l’âge du recourant. Ce dernier fait pour sa part valoir qu’il est étranger, qu’il parle mal le français, qu’il a passé de nombreuses années à travailler pour le même employeur, qu’il est proche de la retraite, qu’il a travaillé durant trente ans comme chauffeur poids lourds et qu’il souffre quotidiennement des suites de son accident. Il en déduit que c’est un abattement de 25% qui aurait dès lors dû être opéré sur le revenu d’invalide. En cours de procédure, l’intimé a admis de faire passer l’abattement à 10%, tout en observant que cela ne permettait pas pour autant l’ouverture du droit à la rente. Il convient de constater que les limitations fonctionnelles du recourant ont déjà été prises en compte dans le taux d’activité de 80% retenu dans une activité adaptée. S’il est exact qu’il est étranger, il n’en demeure pas moins titulaire d’un permis C et il vit en Suisse depuis 1979 (sous réserve d’une activité au Portugal de 1996 à 1998). Il ressort en outre de l’extrait de son compte individuel qu’il a travaillé à tout le moins pour six employeurs avant d’oeuvrer pour le compte de G.________. Certes le recourant était âgé de 60 ans au moment où la décision litigieuse a été rendue. Or selon la jurisprudence du Tribunal fédéral (cf. arrêt TF 9C_651/2008 du 9 octobre 2009, consid. 6.2.2.2, et, implicitement, TF 9C_835/2009 du 27 mai 2010, consid. 4.2), il apparaît que le moment déterminant pour procéder à l’évaluation de l’invalidité d’un assuré proche de l’âge de la retraite n’a pas encore été fixé — moment de la naissance éventuelle du droit à la rente ou moment de la décision litigieuse. En l’espèce, la Cour peut s’abstenir de prendre position sur cette problématique. En effet, que l’on se fonde sur l’âge du recourant au moment de la naissance éventuelle du droit à la rente (59 ans et 3 mois), ou sur son âge au moment de la décision litigieuse (60 ans et 7 mois), il demeure que l’assuré n’était pas suffisamment proche de l’âge donnant</w:t>
      </w:r>
    </w:p>
    <w:p>
      <w:r>
        <w:t>- 18 - droit à une rente de vieillesse (65 ans révolus pour les hommes, cf. art. 21 al. 1 let. a LAVS [loi fédérale du 20 décembre 1946 sur l’assurance- vieillesse et survivants, RS 831.10]) pour que l’on doive considérer qu’il n’existe plus de possibilité réaliste de mise en valeur de la capacité de travail sur un marché équilibré (cf. pour un cas d’admission, TF 9C_612/2007 du 14 juillet 2008, consid. 5.2 et la référence citée, concernant un assuré âgé de près de 60 ans au moment de la naissance du droit à la rente, et de 61 ans et 5 mois au moment de la décision litigieuse). Aussi, au vu également du contexte personnel et professionnel de l’intéressé, la mise en valeur d’une capacité de travail de 80% dans une activité adaptée à son état de santé paraît objectivement exigible. Compte tenu de l’ensemble des circonstances, c’est un abattement de 15% qui aurait dû être reconnu par l’intimé. Il en résulte dès lors un revenu avec invalidité de 43'094 fr. 92. En comparant ce revenu avec le revenu sans invalidité de 61'628 fr. 40, cela conduit à retenir une perte de gain de 18'533 fr. 48, soit un taux d’invalidité de 30.07% qu’il convient d’arrondir à 30%, et qui n’ouvre pas le droit à la rente. Même en retenant un salaire mensuel de 4'806 fr. pour le calcul du revenu d'invalide, il en découlerait un taux d'invalidité de 32.26%, arrondi à 32%, qui n'ouvre pas non plus le droit à la rente. Le même constat s’imposerait avec un abattement de 20%. 6. L’instruction étant complète sur le plan médical, il n’y a pas lieu de donner suite à la requête de mise en oeuvre d’expertise formulée par le recourant.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n°450; ATF 130 lI 425 consid. 2.1, 122 II 469 consid. 4a, 122 III 223 consid. 3c, 120 lb 229 consid. 2b, 119 V 344 consid. 3c et la référence). Il n’y a pas lieu non plus de donner suite à la</w:t>
      </w:r>
    </w:p>
    <w:p>
      <w:r>
        <w:t>- 19 - demande du recourant tendant à sa comparution personnelle (cf. TF 9C_254/2011 du 15 novembre 2011, consid. 2.1). 7. a) Il résulte de ce qui précède que le recours, mal fondé, doit être rejeté et la décision attaquée confirmée. b) Le recourant ne peut pas prétendre de dépens (art. 61 let. g LPGA et 55 LPA-VD). Par ailleurs, la procédure est onéreuse et le recourant, qui voit ses conclusions rejetées, devrait en principe supporter les frais de justice (art. 69 al. 1bis LAI et art. 49 al. 1 LPA-VD, applicable par renvoi des art. 91 et 99 LPA-VD). Il a toutefois été mis au bénéfice de l’assistance judiciaire, de sorte que les frais judiciaires, de même qu’une équitable indemnité au conseil juridique désigné d’office pour la procédure, sont provisoirement à la charge du canton (art. 122 al. 1 let. a et b CPC [Code de procédure civile du 19 décembre 2008, RS 272], applicable par renvoi de l’art. 18 al. 5 LPA-VD). Le recourant sera tenu à remboursement dès qu’il est en mesure de le faire (art. 123 al. 1 CPC, applicable par renvoi de l’art.18 al. 5 LPA-VD) et le Service juridique et législatif fixera les conditions de remboursement, en tenant compte des montants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judicaire en matière civile, RSV 211.02.3], applicable par renvoi de l’art. 18 al. 5 LPA- VD). En l’espèce, Me Mangold a produit une liste de ses opérations pour une durée de 10 heures et 30 minutes au total, en précisant que c’est sa stagiaire qui s’est chargée de ces opérations. Compte tenu d’une rémunération de 110 francs de l’heure pour un avocat-stagiaire (art. 2 al. 1 let. b RAJ), à laquelle s’ajoutent la TVA et les débours demandés par le</w:t>
      </w:r>
    </w:p>
    <w:p>
      <w:r>
        <w:t>- 20 - recourant (5 fr. 40, TVA comprise), une indemnité totale arrondie à 1'253 fr. (1'155 fr. + 92 fr. 40 de TVA + 5 fr. 40 de débours) est adéquate.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