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ZD11.042137 vom 8. Juni 2012</w:t>
      </w:r>
    </w:p>
    <w:p>
      <w:r>
        <w:t>VD Tribunal cantonal, 2012-06-08, FR</w:t>
      </w:r>
    </w:p>
    <w:p>
      <w:r>
        <w:rPr>
          <w:b/>
        </w:rPr>
        <w:t xml:space="preserve">Quelle: </w:t>
      </w:r>
      <w:r>
        <w:t>https://mcp.opencaselaw.ch/entscheid/vd_gerichte_ZD11.042137</w:t>
      </w:r>
    </w:p>
    <w:p>
      <w:r>
        <w:t>FR: VD_GERICHTE ZD11.042137 du 8 juin 2012</w:t>
      </w:r>
    </w:p>
    <w:p>
      <w:r>
        <w:t>IT: VD_GERICHTE ZD11.042137 del 8 giugno 2012</w:t>
      </w:r>
    </w:p>
    <w:p>
      <w:pPr>
        <w:pStyle w:val="Heading2"/>
      </w:pPr>
      <w:r>
        <w:t>Erwägungen</w:t>
      </w:r>
    </w:p>
    <w:p>
      <w:r>
        <w:rPr>
          <w:b/>
        </w:rPr>
        <w:t>E. 1</w:t>
      </w:r>
    </w:p>
    <w:p>
      <w:r>
        <w:t>L’opposition est rejetée;</w:t>
      </w:r>
    </w:p>
    <w:p>
      <w:r>
        <w:rPr>
          <w:b/>
        </w:rPr>
        <w:t>E. 2</w:t>
      </w:r>
    </w:p>
    <w:p>
      <w:r>
        <w:t>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410 consid. 2c, 110 V 48 consid. 4a; RCC 1985 p. 53). En l'espèce, le litige porte sur la question de la remise de l’obligation de restituer pour un montant de 69'312 fr., à teneur de la décision du 7 octobre 2011.</w:t>
      </w:r>
    </w:p>
    <w:p>
      <w:r>
        <w:rPr>
          <w:b/>
        </w:rPr>
        <w:t>E. 3</w:t>
      </w:r>
    </w:p>
    <w:p>
      <w:r>
        <w:t>Selon l'art. 25 al. 1 LPGA, les prestations indûment touchées doivent être restituées. La restitution ne peut être exigée lorsque l'intéressé était de bonne foi et qu'elle le mettrait dans une situation difficile. Conformément à l'art. 25 al. 2 première phrase LPGA, le droit de demander la restitution s'éteint un an après le moment où l'institution</w:t>
      </w:r>
    </w:p>
    <w:p>
      <w:r>
        <w:t>- 15 - d'assurance a eu connaissance du fait, mais au plus tard cinq ans après le versement de la prestation. A teneur de l’art. 4 OPGA (ordonnance du 11 septembre 2002 sur la partie générale du droit des assurances sociales; RS 830.11) relatif à la remise,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 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(ATF 130 V 318 consid. 5.2 et les références). La rectification d'une décision antérieure par voie de la reconsidération entraîne en principe l'obligation de restituer la prestation de l'assurance-invalidité touchée à tort. Tel est le cas lorsque l'erreur qui donne lieu à la reconsidération a trait à des éléments qui ne sont pas spécifiques au droit de l'assurance-invalidité, mais sont analogues au domaine de l'assurance- vieillesse et survivants, comme l'attribution du degré d'invalidité à la fraction de rente correcte (cf. TF 9C_678/2011 du 4 janvier 2012, consid. 5.1.1; 9C_409/2011 du 21 novembre 2011, consid. 4.2). La modification de la prestation a alors lieu avec un effet rétroactif (ex tunc), ce qui implique l'obligation de restituer dans les limites prévues par l'art. 25 al. 2 LPGA (ATF 110 V 298 relatifs aux art. 47 al. 1 aLAVS [loi fédérale du 20 décembre 1946 sur l'assurance-vieillesse et survivants; RS 831.10] et 49 aLAI).</w:t>
      </w:r>
    </w:p>
    <w:p>
      <w:r>
        <w:t>- 16 - En revanche,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(TF 9C_678/2011 du 4 janvier 2012, consid. 5.1.1). Autre est la situation lorsque le versement indu résulte d'une violation de l'obligation de renseigner au sens des art. 31 LPGA et 77 RAI,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(art. 85 al. 2 et 88bis al. 2 let. b RAI; TF 9C_678/2011 du 4 janvier 2012, consid. 5.1.1; ATF 119 V 431 consid. 2 p. 432 et consid. 4a p. 434; TF I 151/94 du 3 avril 1995 consid. 5a, in SVR 1995 IV n° 58 p. 165; voir également UELI KIESER, ATSG-Kommentar, 2ème éd., 2009, n. 15 et 57 ad art. 25 LPGA). Selon la jurisprudence relative à la remise de l'obligation de restituer,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(TF 8C_118/2010 du 31 août 2010, consid. 4.1; ATF 112 V 97 consid. 2c p. 103, 110 V 176 consid. 3c p. 180). Il y a négligence grave quand un ayant droit ne se conforme pas à ce qui peut raisonnablement être exigé d'une personne capable de discernement dans une situation identique et dans les mêmes</w:t>
      </w:r>
    </w:p>
    <w:p>
      <w:r>
        <w:t>- 17 - circonstances (TF 8C_118/2010 du 31 août 2010, consid. 4.1; 9C_185/2009 du 19 août 2009, consid. 4.4; ATF 110 V 176 consid. 3d p. 181). Selon l'art. 20 al. 2 let. a LAVS, les créances découlant de la LAI peuvent être compensées avec des prestations échues. Cette disposition est applicable dans le domaine de l'assurance-invalidité en vertu de l'art. 50 al. 2 LAI. La jurisprudence en matière d'assurances sociales soumet la compensation à l'exigence que cette mesure ne mette pas en péril les moyens d'existence du débiteur (voir par exemple ATF 115 V 343 consid. 2c). En effet, la compensation opérée avec une rente n'est possible que dans la mesure où le montant retenu sur la rente mensuelle ne touche pas le minimum vital de la personne tenue à restitution (TF 9C_741/2009 du 12 mars 2010, consid. 1.1; ATF 128 V 50 consid. 4a p. 53 et les références).</w:t>
      </w:r>
    </w:p>
    <w:p>
      <w:r>
        <w:rPr>
          <w:b/>
        </w:rPr>
        <w:t>E. 4</w:t>
      </w:r>
    </w:p>
    <w:p>
      <w:r>
        <w:t>En l’espèce, il convient d’examiner si les deux conditions cumulatives permettant la remise de l’obligation de restituer sont réalisées. Pour ce qui est de la condition de la situation financière difficile, elle est manifestement réalisée en l’espèce. Il en va pourtant autrement de la question de la bonne foi de la recourante. En effet, lorsqu’elle a été interpellée par l’OAI sur le point de savoir si elle exerçait une activité lucrative, la recourante a affirmé dans un premier temps ne pas en avoir (cf. note téléphonique du 7 juillet 2005). Ce n’est que lorsqu’elle a été invitée à indiquer à quoi correspondaient les rentrées d’argent régulières depuis 2001 de la part de R.________ qu’elle a admis qu’elle travaillait comme auxiliaire de santé à 60%. A cela s’ajoute que de l’avis du Dr J.________ (cf. rapport médical du 9 septembre 2005), elle pouvait travailler à 60% durant la période en cause, si bien que lors même qu’il est manifeste qu’elle était ébranlée par sa maladie, cela ne l’empêchait pas de respecter son devoir d’annonce (cf. 77 RAI). En renonçant à déterminer si elle devait ou non annoncer son activité salariée, puis en niant dans un premier temps exercer une telle activité, la</w:t>
      </w:r>
    </w:p>
    <w:p>
      <w:r>
        <w:t>- 18 - recourante a adopté un comportement fautif, consacrant une négligence qui ne peut être qualifiée de légère. Il convient dès lors de retenir que les conditions cumulatives posées à la remise ne sont pas réalisées et que la décision attaquée doit être confirmée. Il y a cependant lieu de préciser que la compensation ne sera possible que pour autant que le montant retenu sur la rente n'entame pas le minimum vital de la recourante (cf. consid. 3 in fine).</w:t>
      </w:r>
    </w:p>
    <w:p>
      <w:r>
        <w:rPr>
          <w:b/>
        </w:rPr>
        <w:t>E. 5</w:t>
      </w:r>
    </w:p>
    <w:p>
      <w:r>
        <w:t>a) Vu ce qui précède, le recours doit être rejeté et la décision litigieuse confirmée. b) La recourante, qui succombe, ne peut pas prétendre à des dépens (art. 61 let. g LPGA et 55 LPA-VD). Par ailleurs, la procédure est onéreuse et la recourante, qui voit ses conclusions rejetées, devrait en principe supporter les frais de justice (art. 69 al. 1bis LAI et art. 49 al. 1 LPA-VD, applicable par renvoi des art. 91 et 99 LPA-VD). Elle a toutefois été mise au bénéfice de l’assistance judiciaire, de sorte que les frais judiciaires, de même qu’une équitable indemnité au conseil juridique désigné d’office pour la procédure, sont provisoirement laissés à la charge du canton (art. 122 al. 1 let. a et b CPC [code de procédure civile du 19 décembre 2008, RS 272], applicable par renvoi de l’art. 18 al. 5 LPA-VD). La recourante sera tenue à remboursement dès qu’elle est en mesure de le faire (art. 123 al. 1 CPC, applicable par renvoi de l’art.18 al. 5 LPA-VD) et le Service juridique et législatif fixera les conditions de remboursement,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judicaire en matière civile; RSV 211.02.3], applicable par renvoi de l’art. 18 al. 5 LPA- VD).</w:t>
      </w:r>
    </w:p>
    <w:p>
      <w:r>
        <w:t>- 19 - En l’espèce, Me Treyvaud a produit une liste de ses opérations pour une durée de 9 heures et 20 minutes au total. Compte tenu d’une rémunération de 180 francs de l’heure (art. 2 al. 1 let. a RAJ), à laquelle s’ajoutent la TVA, le montant des honoraire est de 1'814 fr. 40. Au demeurant, l’avocat d’office a droit au remboursement de tous les débours qui s’inscrivent raisonnablement dans l’exécution de sa tâche (ATF 122 I 1). En l’occurrence, Me Treyvaud a droit pour ses débours à un montant de 84 fr. 70, TVA comprise. Le montant total de l’indemnité d’office s’élève donc à 1'899 fr. 10, que l’on peut arrondir à 1'900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