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ZD11.040377 vom 12. Februar 2013</w:t>
      </w:r>
    </w:p>
    <w:p>
      <w:r>
        <w:t>VD Tribunal cantonal, 2013-02-12, FR</w:t>
      </w:r>
    </w:p>
    <w:p>
      <w:r>
        <w:rPr>
          <w:b/>
        </w:rPr>
        <w:t xml:space="preserve">Quelle: </w:t>
      </w:r>
      <w:r>
        <w:t>https://mcp.opencaselaw.ch/entscheid/vd_gerichte_ZD11.040377</w:t>
      </w:r>
    </w:p>
    <w:p>
      <w:r>
        <w:t>FR: VD_GERICHTE ZD11.040377 du 12 février 2013</w:t>
      </w:r>
    </w:p>
    <w:p>
      <w:r>
        <w:t>IT: VD_GERICHTE ZD11.040377 del 12 febbraio 2013</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w:t>
      </w:r>
    </w:p>
    <w:p>
      <w:r>
        <w:t>- 20 -</w:t>
      </w:r>
    </w:p>
    <w:p>
      <w:r>
        <w:rPr>
          <w:b/>
        </w:rPr>
        <w:t>E. 2</w:t>
      </w:r>
    </w:p>
    <w:p>
      <w:r>
        <w:t>A titre préalable, le recourant se prévaut d'une violation de son droit d'être entendu, dès lors que son médecin traitant n'a pas été informé, respectivement l'a été tardivement, de la mise en œuvre d'un examen médical au SMR et du projet de décision rendu par l'OAI le 6 juillet 2011. En l'occurrence, le rapport d'examen du SMR, daté du 10 septembre 2010, a quoi qu'il en soit effectivement été transmis au Dr I.________, à savoir le 16 août 2011, et le projet de décision a dûment été adressé à l'assuré; il appartenait en outre à ce dernier de s'enquérir de l'avancement de son dossier médical et le cas échéant d'interpeller son médecin traitant. Cela étant, il n'est pas nécessaire d'examiner plus avant si cette prétendue violation du droit d'être entendu (art. 29 al. 2 Cst [Constitution fédérale du 18 avril 1999, RS 101]) nécessite l'annulation de la décision attaquée. En effet, celle-ci doit de toute manière être réformée dans le sens des conclusions du recourant, ainsi qu'on le verra ci-après (pour un cas similaire: TF B 32/99 du 31 mars 2000 consid. 4).</w:t>
      </w:r>
    </w:p>
    <w:p>
      <w:r>
        <w:rPr>
          <w:b/>
        </w:rPr>
        <w:t>E. 3</w:t>
      </w:r>
    </w:p>
    <w:p>
      <w:r>
        <w:t>En l'espèce, le droit à une rente d'invalidité est litigieux, l'OAI ayant nié ce droit au recourant faute d'atteinte à la santé suffisamment incapacitante au moment où il a statué, l'assuré concluant quant à lui à l'octroi d'une rente entière, subsidiairement à la mise en œuvre d'une expertise psychiatrique.</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trois quarts de rente et un taux de 70% à une rente entière (art. 28 al. 2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Pour pouvoir calculer le degré d'invalidité, l'administration (ou le juge, s'il y a eu un recours) a besoin de documents que les médecins,</w:t>
      </w:r>
    </w:p>
    <w:p>
      <w:r>
        <w:t>- 22 -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w:t>
      </w:r>
    </w:p>
    <w:p>
      <w:r>
        <w:t>- 23 - (ATF 125 V 351 consid. 3b/cc et les références citées; VSI 2001 p. 106 consid. 3b; TFA I 554/01 du 19 avril 2002 consid. 2a).</w:t>
      </w:r>
    </w:p>
    <w:p>
      <w:r>
        <w:rPr>
          <w:b/>
        </w:rPr>
        <w:t>E. 5</w:t>
      </w:r>
    </w:p>
    <w:p>
      <w:r>
        <w:t>a) Dans le cas présent, sur le plan somatique, il n'est pas contesté que le recourant présente les atteintes de gonarthrose droite post-traumatique, de troubles statiques et dégénératifs du rachis lombaire avec discopathie L5/S1 et de métatarsalgies bilatérales chroniques, entraînant une capacité de travail de 70% dans une activité adaptée, depuis août 2000. De même, le recourant ne conteste pas le diagnostic, en l'occurrence sans incidence sur la capacité de travail, de syndrome douloureux somatoforme persistant. Sur ces questions, il y a lieu de se référer au rapport d'examen du 10 septembre 2010 du SMR effectué par les Drs S.________ et D.________, ainsi qu'aux autres pièces médicales sur lesquelles ces spécialistes fondent leurs déterminations. b) Le complément d'instruction sur le plan neuropsychologique, intervenu après l'examen médical effectué au SMR, a révélé la présence de troubles neuropsychologiques générant une incapacité de travail totale. Ainsi, la psychologue L.________, dans son rapport du 12 octobre 2011, a mis en évidence des troubles sévères de mémoire verbale et de raisonnement, des troubles modérés de mémoire visuo-spatiale et de calcul oral, avant de retenir que les déficits étaient très sévères et que l'assuré ne pouvait pas apprendre une nouvelle activité professionnelle. Pour leur part, dans leur rapport du 24 octobre 2011, le Dr P.________ et C.________ ont diagnostiqué des troubles cognitifs sévères – à savoir des fonctions mnésiques verbales, des praxies constructives et du raisonnement concret – et observé clairement une détérioration des composantes cognitives, l'assuré paraissant totalement inapte à exercer une activité professionnelle ou une réinsertion. De même, dans leur avis médical du SMR du 23 novembre 2011, les Drs Q.________ et Z.________ ont retenu la présence de troubles neuropsychologiques suffisamment avancés pour justifier à eux seuls une capacité de travail nulle dans toute activité.</w:t>
      </w:r>
    </w:p>
    <w:p>
      <w:r>
        <w:t>- 24 - Demeure seule litigieuse la date de la survenance de ces troubles totalement incapacitants. A cet égard, dans leur avis médical du 23 novembre 2011, compte tenu de l'absence de troubles mnésiques constatés lors de l'examen au SMR le 9 août 2010, les Drs Q.________ et Z.________ ont proposé de retenir la date de l'examen neuropsychologique du 12 octobre 2011. De façon convaincante et pertinente, dans leurs lignes du 17 avril 2012, le Dr P.________ et C.________ ont indiqué que la date du 12 octobre 2011 n'était pas suffisamment fondée pour fixer l'apparition de ces troubles; ils ont expliqué que l'assuré – qui souffrait d'alcoolisme grave depuis 30 ans et avait suivi une cure de désintoxication en octobre 2006 dans une clinique spécialisée – avait mentionné un problème de mémoire lors d'une consultation le 10 juin 2010 puis s'en était régulièrement plaint, de sorte que les troubles neuropsychologiques existaient au moins depuis cette date. Du reste, dans leur écriture du 30 avril 2012, ces spécialistes ont précisé qu'ils avaient demandé personnellement la mise en œuvre d'un examen neuropsychologique – tel qu'il sera effectué le 12 octobre 2011 par la psychologue L.________ – en raison des plaintes récurrentes de l'assuré d'un manque de mémoire, depuis le 10 juin 2010, ce dernier voulant passer son permis de conduire sans arriver à retenir la théorie exigée, ce qui laissait alors soupçonner des séquelles graves de son alcoolisme. Ils ont ajouté que les troubles mnésiques avaient été mis en évidence en juin/juillet 2010, mais que la problématique, selon les dires de l'assuré, semblait être apparue avant 2010. Par conséquent, suivant l'avis de ces spécialistes, lesquels se fondent sur des constats objectifs, il peut être tenu pour établi que les troubles neuropsychologiques de l'assuré, résultant très vraisemblablement d'un problème d'alcoolisme grave, ont été clairement identifiés en juin 2010. L'incapacité de travail totale dans toute activité professionnelle se confondant avec le degré d'invalidité, elle ouvre ainsi le droit à une rente entière d'invalidité à compter du 1er juin 2011, soit après un délai de carence d'une année (art. 28 LAI). Partant, le recours est admis dans ce sens.</w:t>
      </w:r>
    </w:p>
    <w:p>
      <w:r>
        <w:t>- 25 -</w:t>
      </w:r>
    </w:p>
    <w:p>
      <w:r>
        <w:rPr>
          <w:b/>
        </w:rPr>
        <w:t>E. 6</w:t>
      </w:r>
    </w:p>
    <w:p>
      <w:r>
        <w:t>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à la charge de l'OAI débouté. Le recourant, qui obtient gain de cause avec l'assistance d'un mandataire professionnel, a droit à des dépens (art. 61 let. g LPGA), qu'il convient d'arrêter à 3'500 fr. à la charge de l'OAI, cette somme couvrant le montant des honoraires et des débours revenant à l'avocat d'office, tels que réclamés par la liste détaillée de ses opérations produite le 20 juin 2012 en vue de la fixation de son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