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ZD11.040370 vom 6. August 2012</w:t>
      </w:r>
    </w:p>
    <w:p>
      <w:r>
        <w:t>VD Tribunal cantonal, 2012-08-06, FR</w:t>
      </w:r>
    </w:p>
    <w:p>
      <w:r>
        <w:rPr>
          <w:b/>
        </w:rPr>
        <w:t xml:space="preserve">Quelle: </w:t>
      </w:r>
      <w:r>
        <w:t>https://mcp.opencaselaw.ch/entscheid/vd_gerichte_ZD11.040370</w:t>
      </w:r>
    </w:p>
    <w:p>
      <w:r>
        <w:t>FR: VD_GERICHTE ZD11.040370 du 6 août 2012</w:t>
      </w:r>
    </w:p>
    <w:p>
      <w:r>
        <w:t>IT: VD_GERICHTE ZD11.040370 del 6 agosto 2012</w:t>
      </w:r>
    </w:p>
    <w:p>
      <w:pPr>
        <w:pStyle w:val="Heading2"/>
      </w:pPr>
      <w:r>
        <w:t>Erwägungen</w:t>
      </w:r>
    </w:p>
    <w:p>
      <w:r>
        <w:rPr>
          <w:b/>
        </w:rPr>
        <w:t>E. 2</w:t>
      </w:r>
    </w:p>
    <w:p>
      <w:r>
        <w:t>février 2011. Sur la base des certificats médicaux établis par les médecins de l'Hôpital de zone de [...], il était fait état d'une incapacité de travail totale du 3 mars au 24 mai 2010, puis à 50 % jusqu'au 1er août 2010 et finalement à 40 % depuis le 2 août 2010. L'atteinte à la santé était consécutive à une opération du tunnel carpien. Dans le formulaire 531bis complété le 15 février 2011, l'assurée a indiqué que sans atteinte à sa santé, elle travaillerait à 100 % dans le domaine des nettoyages, ceci par intérêt personnel. Le dossier transmis à l'Office de l'assurance-invalidité pour le canton de Vaud (ci-après: l'OAI ou l'intimé) par l'assureur perte de gain (La T.________) recèle plusieurs rapports médicaux. Ainsi dans un certificat médical initial du 16 avril 2010, le Dr N.________, orthopédiste et traumatologue, médecin-chef à l'Hôpital de zone de [...], a posé le diagnostic de syndrome du tunnel carpien droit consécutif à une intervention (libération du nerf médian au canal carpien droit) pratiquée le</w:t>
      </w:r>
    </w:p>
    <w:p>
      <w:r>
        <w:rPr>
          <w:b/>
        </w:rPr>
        <w:t>E. 3</w:t>
      </w:r>
    </w:p>
    <w:p>
      <w:r>
        <w:t>mois, son médecin traitant lui aurait prescrit un anxiolytique (Urbanyl®) car elle se sentait anxieuse. L’examen psychiatrique de ce jour n’objective aucun trouble de nature psychiatrique, en particulier l’exploration de la lignée anxieuse n’objective pas d’anxiété généralisée en l’absence d’attente craintive, de tension motrice permanente, ou de signes neurovégétatifs. Il n’existe pas non plus de trouble panique caractérisé, pas de crise d’anxiété aigue paroxystique de survenue</w:t>
      </w:r>
    </w:p>
    <w:p>
      <w:r>
        <w:t>- 8 - inopinée. L’assurée décrit tout de même des épisodes de réaction anxieuse à des situations professionnelles particulières, en général de nature conflictuelle avec sa hiérarchie. Elle a le sentiment qu’on lui reproche de ne pas travailler à plein temps (elle est en incapacité de travail de 50 %), et qu’on la punit en lui donnant à faire des tâches ingrates. Ainsi, sa supérieure hiérarchique lui aurait imposé d’aller faire le ménage dans la morgue de l’Institution, toute seule, et l’aurait, dans le même temps, menacée de licenciement. L’assurée a finalement refusé, mais s’est sentie anxieuse durant 48 heures. Nous retiendrons donc le diagnostic de trouble anxieux, sans précision F41.9. L’exploration de la thymie n’objective pas de trouble dépressif, en l’absence des 3 critères majeurs de la dépression: il n’y a pas d’abaissement de l’humeur, pas de diminution de l’intérêt et du plaisir, l’assurée ayant conservé nombre de sources de plaisir (regarder la télévision en portugais, déjeuner dans le restaurant de son beau-frère, se promener au Signal de [...], et surtout, voir et s’occuper de ses petits-enfants). Enfin, il existe une réduction de l’énergie, que l’assurée met directement en relation avec les périodes de travail. Cette réduction de l’énergie n’est donc pas d’origine dépressive et, par ailleurs, ne répond pas au diagnostic de syndrome de fatigue chronique, dans lequel la fatigue est persistante et résistante au repos. De plus, selon la définition, le syndrome de fatigue chronique suppose des troubles de la mémoire ou de la concentration, que l’assurée ne présente pas. Enfin, en présence d’un syndrome douloureux non entièrement expliqué par un trouble organique, un trouble douloureux somatoforme persistant doit être discuté. En l’absence d’un sentiment de détresse, ce diagnostic n’est pas retenu, et les critères de sévérité ne seront donc pas discutés. Le diagnostic de somatisation, évoqué par le médecin traitant, est lui aussi réfuté, en l’absence d’altération du fonctionnement social et familial. Nous retiendrons finalement le diagnostic de majoration de symptômes physiques pour des raisons psychologiques (F68.0). Limitations fonctionnelles En l’absence d’étiologie quant à la persistance des douleurs ressenties par l’assurée et leur étendue, il ne nous est pas possible de retenir des limitations fonctionnelles durables. Sur le plan psychiatrique, en l’absence de diagnostic incapacitant, il n’y a pas de limitations fonctionnelles. Depuis quand y a-t-iI une incapacité de travail de 20% au moins? Initialement, l’incapacité de travail est totale du temps de l’opération et de la cicatrisation post-opératoire, puis du temps des investigations permettant d’exclure une complication post- opératoire, que ce soit une algoneurodystrophie, une compression résiduelle du nerf médian, une infection, une rhizarthrose. IT [incapacité de travail] totale dans toute activité initialement depuis le 3.3.2010. Sur le plan psychiatrique, il n’y a jamais eu d’incapacité de travail. Comment le degré d’incapacité de travail a-t-il évolué depuis lors? Pour rappel, l’assurée est opérée le 3.03.2010, elle reprend à 50% à partir du 25.05.2010. Elle est revue le 9.12.2010 par la Dresse Z.________ qui exclut une atteinte neurologique; à juste titre, la Dresse Z.________ évoque, lors de sa consultation, une éventuelle pathologie ostéoarticulaire, à savoir une rhizarthrose douloureuse ou encore une algoneurodystrophie ou phénomène de Südeck. Dans son courrier</w:t>
      </w:r>
    </w:p>
    <w:p>
      <w:r>
        <w:t>- 9 - du 31.01.2011, adressé au médecin-conseil de l’assurance perte de gain, le Dr N.________ explique que les examens complémentaires effectués jusqu’à présent ne sont pas contributifs pour expliquer l’importance des symptômes, il se demande si ceux-ci sont vraiment d’origine organique, il exclut la nécessité d’une révision chirurgicale; le Dr N.________ voit l’assurée le 31.01.2011. Dans son rapport médical, adressé à l’Al le 13.04.2011, le Dr N.________ retient un diagnostic descriptif de syndrome douloureux du talon de la main et de la base de l’éminence thénarienne persistant, il n’en explique pas l’étiologie. Son examen clinique n’est pas inquiétant avec une cicatrice du talon de la main légèrement indurée, il décrit un léger oedème de la main gauche, diffus, nous ne l’objectivons plus. Dans sa consultation du 24.03.2011 le Dr F.________, chirurgien de la main, évoque des adhérences cicatricielles pouvant expliquer une partie de la symptomatologie, une algoneurodystrophie n’est pas totalement exclue même s’il n’y a pas de tableau complet. Le Dr F.________ n’évoque pas l’éventuelle rhizarthrose dans son diagnostic différentiel. La rhizarthrose débutante objectivée sur les radiographies n’explique pas le ressenti douloureux important; par ailleurs l’examen clinique n’oriente pas vers un problème focalisé de rhizarthrose. Le diagnostic d’algoneurodystrophie s’appuie sur des éléments cliniques, et en cas de doute il est confirmé par les examens complémentaires (radiographie, IRM voire scintigraphie). Les éléments à disposition ne permettent pas de retenir ce diagnostic. Nous retenons une évolution de la capacité de travail à 100% depuis le 31.1.2011. Nous sommes alors à 10 mois d’une intervention chirurgicale mineure. Sur le plan psychiatrique, sans objet. Capacité de travail exigible Dans l'activité habituelle d'employée d'entretien: 100% Dans une activité adaptée: 100% Depuis le: 31.1.2011." Le 19 août 2011, les Drs E._________ et X.________ du SMR ont fait leurs les constatations et conclusions ressortant du rapport d'examen bidisciplinaire précité estimant qu'en tout état de cause, l'assurée ne présentait pas d'affection incapacitante, tant sur le plan rhumatologique que psychiatrique. Par projet de décision du 24 août 2011, intégralement confirmé selon décision du 3 octobre 2011, l'OAI a rejeté la demande de l'assurée. Ses constatations s'articulaient comme il suit: "Après étude de votre dossier et suite à son analyse médicale, vous avez présenté les incapacités de travail suivantes: - 100 % dès le 3 mars 2010 - 50 % dès le 25 mai 2010</w:t>
      </w:r>
    </w:p>
    <w:p>
      <w:r>
        <w:t>- 10 - - 0 % dès le 31 janvier 2011. Un examen rhumatologique a été effectué le 1er juillet 2011 auprès de notre Service médical régional et il ressort que votre capacité de travail et de gain est entière depuis le 31 janvier 2011 et ceci que ce soit dans votre activité habituelle ainsi que dans toute autre activité adaptée à votre état de santé. Au vu de ce qui précède, votre incapacité de travail n'a pas duré une année au moins et le droit à une rente AI n'est pas ouvert de même que des mesures professionnelles. Un degré d'invalidité inférieur à 40 % ne donne pas droit à une rente d'invalidité. […]" B. Par acte du 26 octobre 2011, V.________ a recouru devant la Cour des assurances sociales du Tribunal cantonal. Elle a implicitement conclu à l'annulation de la décision de refus rendue le 3 octobre 2011. Elle contestait avoir recouvré l'entier de sa capacité de travail dès le 31 janvier 2011. Elle a produit en ce sens, un certificat médical d'arrêt de travail du 4 octobre 2011 établi par le Dr N.________ attestant une incapacité de travail de 100 % du 4 au 6 octobre 2011 et de 50 % du 7 au 31 octobre 2011 inclus. Elle était ainsi d'avis que cela faisait plus d'un an qu'elle se trouvait en incapacité de travail partielle. Elle demandait par ailleurs la réalisation d'un nouvel examen rhumatologique "neutre et impartial". Dans sa réponse du 21 décembre 2011, l'OAI a conclu au rejet du recours. Il a d'abord relevé que le dossier médical de la recourante avait été instruit à satisfaction, le rapport de l'examen bidisciplinaire SMR du 8 août 2011 remplissant les réquisits pour sa valeur probante. Il a ensuite nié l'existence d'un droit formel de la recourante à une expertise réalisée par un médecin externe à l'assurance. Il estimait que le certificat médical produit par l'intéressée n'était pas de nature à rediscuter la décision attaquée. Par réplique du 2 mai 2012 de son conseil Me Nicolas Perret, la recourante a précisé en ces termes les conclusions de son recours: "Préalablement: I. Une nouvelle expertise médicale est ordonnée. II. La comparution personnelle des parties est ordonnée.</w:t>
      </w:r>
    </w:p>
    <w:p>
      <w:r>
        <w:t>- 11 - III. L'audition du Docteur N.________ est ordonnée, respectivement, la production du dossier médical de la recourante auprès de ce médecin. Principalement: IV. La décision du 3 octobre 2011 de l'Office de l'assurance- invalidité est rejetée. V. Les conclusions prises par la recourante sont confirmées. VI. Toutes autres ou plus amples conclusions sont rejetées." Elle a produit divers certificats médicaux du Dr N.________ attestant d'une incapacité de travail partielle (50 %) jusqu'au 31 mars 2012. Elle en a déduit souffrir d'une incapacité de travail partielle ininterrompue d'une durée supérieure à une année. Le 29 mai 2012, l'intimé a communiqué qu'il renonçait à dupliquer. E n d r o i t : 1.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La procédure devant le tribunal cantonal des assurances instituée par chaque canton en application de l'art. 57 LPGA est réglée par le droit cantonal. Dans le canton de Vaud, la procédure de recours est régie par la loi du 28 octobre 2008 sur la procédure administrative (LPA-</w:t>
      </w:r>
    </w:p>
    <w:p>
      <w:r>
        <w:t>- 12 - VD, RSV 173.36), qui s'applique notamment aux recours dans le domaine des assurances sociales (art. 2 al. 1 let. c LPA-VD) et prévoit à cet égard la compétence de la Cour des assurances sociales du Tribunal cantonal (art. 93 al. 1 let. a LPA-VD). Il s'ensuit que la cour de céans est compétente pour statuer sur le recours interjeté en temps utile (art. 60 al. 1 LPGA), par V.________ contre la décision de refus de l'OAI du 3 octobre 2011. 2. Le litige a trait à l'évaluation de l'incapacité de travail de la recourante à compter du 1er février 2011. L'office intimé, suivant en ce sens les constatations et conclusions médicales du rapport d'examen SMR du 8 août 2011, considère que la capacité de travail et de gain est entière depuis le 31 janvier 2011 que ce soit dans l'activité habituelle de nettoyeuse comme dans toute autre activité adaptée. Se référant aux certificats médicaux d'arrêt de travail du Dr N.________ produits, la recourante soutient quant à elle que son incapacité de travail a perduré plus d'une année de telle sorte que le droit aux prestations AI lui est ouvert. a) Aux termes de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w:t>
      </w:r>
    </w:p>
    <w:p>
      <w:r>
        <w:t>- 13 -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w:t>
      </w:r>
    </w:p>
    <w:p>
      <w:r>
        <w:rPr>
          <w:b/>
        </w:rPr>
        <w:t>E. 6</w:t>
      </w:r>
    </w:p>
    <w:p>
      <w:r>
        <w:t>LPGA). L’art. 7 al. 2 LPGA, entré en vigueur le 1er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c)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w:t>
      </w:r>
    </w:p>
    <w:p>
      <w:r>
        <w:t>- 14 - et 125 V 351 consid. 3a et les références; TF 8C_861/2009 du 20 avril 2010, consid. 3.1, 9C_813/2009 du 11 décembre 2009, consid. 2.1 et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VSI 2/2001 p. 106 consid. 3b/bb et cc; TF 8C_15/2009 du 11 janvier 2010, consid. 3.2 et 9C_91/2008 du 30 septembre 2008). 3. a) Il ressort des pièces médicales du dossier transmis que la recourante a subi, le 3 mars 2010, une intervention chirurgicale mineure (opération du tunnel carpien droit). Il s'en est suivi une symptomatologie douloureuse (utilisation douloureuse du membre supérieur droit, diminution de la dextérité de la main et parfois des décharges électriques au contact d'une surface avec le poignet droit). La persistance de ces douleurs a conduit les médecins traitant à retenir une incapacité de travail partielle dans l'activité de nettoyeuse. L'origine des douleurs rapportées n'a pas pu être déterminée; le 31 janvier 2011, le Dr N.________ précise ainsi que "les examens complémentaires effectués jusqu'à présent ne sont pas contributifs pour expliquer l'importance des symptômes. On peut se demander si ceux-ci sont d'origine organique." Au terme d'un examen du</w:t>
      </w:r>
    </w:p>
    <w:p>
      <w:r>
        <w:rPr>
          <w:b/>
        </w:rPr>
        <w:t>E. 9</w:t>
      </w:r>
    </w:p>
    <w:p>
      <w:r>
        <w:t>décembre 2010, la Dresse Z.________ met uniquement en évidence la persistance de discrètes anomalies au niveau du nerf médian laissant suspecter une séquelle mais n'expliquant pas, selon elle, les douleurs rapportées par la recourante. A la suite d'un examen du dossier, le Dr F.________ est quant à lui d'avis que des adhérences cicatricielles sont susceptibles d'expliquer une partie de la symptomatologie sans qu'une algoneurodystrophie ne doive être exclue. Dans un rapport médical du 20</w:t>
      </w:r>
    </w:p>
    <w:p>
      <w:r>
        <w:t>- 15 - mai 2011, le Dr L.________ fait part de la nécessité de réaliser une expertise de l'assurée. Au terme d'un examen bidisciplinaire (rhumatologique et psychiatrique) réalisé le 1er juillet 2011, les Drs R.________ et S.________ du SMR ne posent aucun diagnostic avec incidence sur la capacité de travail. Ils retiennent uniquement des atteintes à la santé sans conséquence sur la capacité de travail à savoir, un status post- opération d'un tunnel carpien, un syndrome douloureux chronique post- opératoire, une obésité de classe 2, un diabète de type II non insulino- requérant, une majoration des symptômes physiques pour des raisons psychologiques (F68.0) et un trouble anxieux sans précisions (F41.9). Les Drs R.________ et S.________ concluent à une évolution de la capacité de travail à 100% (sur le plan rhumatologique et psychiatrique) dès le 31 janvier 2011 ceci tant dans l'activité d'employée d'entretien que dans toute activité adaptée. L'examen bidisciplinaire pratiqué le 1er juillet 2011 au SMR, respectivement le rapport du 8 août 2011 y faisant suite, se base sur une étude détaillée des documents médicaux figurant au dossier (pp. 1-2), contient une anamnèse complète énonçant en particulier les plaintes actuelles de la recourante (pp. 3-5), dresse un status général, neurologique, ostéoarticulaire et psychiatrique (pp. 6-7). Les diagnostics posés le sont avec clarté (p. 8) et la discussion du cas est présentée de manière systématique, claire et cohérente, sans éluder les écueils que constituent d'autres avis médicaux (pp. 8-11). Ainsi, le rapport d'examen SMR s'avère objectif, nuancé et dûment motivé, de sorte qu'il emporte pleine valeur probante, au sens de la jurisprudence rappelée au consid. 2c supra. b) On retiendra ainsi avec les Drs R.________ et S.________ que tant sur le plan ostéoarticulaire que sur le plan neurologique, il n'existe pas d'explication à l'important syndrome douloureux ressenti par la recourante. Cet avis est partagé par le Dr L.________ (médecin traitant depuis 1994) qui retient une somatisation ainsi qu'un syndrome de fatigue chronique. Il est toutefois observé une composante de fibromyalgie de telle sorte qu'il est probable que les acroparesthésies attribuées au</w:t>
      </w:r>
    </w:p>
    <w:p>
      <w:r>
        <w:t>- 16 - syndrome du tunnel carpien soient pour partie liées à la composante fibromyalgique. Or, l'existence d'une comorbidité psychiatrique importante par sa gravité, son acuité et sa durée (ATF 132 V 65 consid. 4.2.2) en effet, n'est pas établie en l'espèce. Sur le plan psychiatrique, il n'est pas objectivé de trouble d'anxiété généralisée ni de trouble panique. La recourante décrivant néanmoins des épisodes de réaction anxieuse à des situations professionnelles particulières, il se justifie de poser le diagnostic de trouble anxieux sans précision (F41.9). Il n'a par ailleurs pas été objectivé de trouble dépressif. Enfin en l'absence d'altération du fonctionnement social et familial de l'intéressée, il est retenu le diagnostic de majoration de symptômes physiques pour des raisons psychologiques (F68.0). Pour le surplus, les critères de la fibromyalgie ne sont manifestement pas remplis. Les différents certificats médicaux d'arrêt de travail du Dr N.________ produits en cause par la recourante ne sont pas suffisamment étayés sous l'angle médical pour permettre de rediscuter les constatations et conclusions du rapport d'examen SMR du 8 août 2011. Ces certificats se limitent en effet à attester des périodes d'incapacité de travail sans plus amples indications sur l'état de santé de l'assurée. De surcroît, selon la jurisprudence constante, établies par l'un des médecins consultés par l'assurée, les indications figurant dans ces certificats doivent être admises avec réserve. Il faut en effet tenir compte du fait que, de par la position de confident privilégié que lui confère son mandat, le Dr N.________ pourrait avoir tendance à se prononcer en faveur de sa patiente; il convient dès lors d'attacher plus de poids aux constatations des médecins spécialisés du SMR qu'à celles du prénommé (cf. consid. 2c supra). On s'étonne d'ailleurs, que la recourante présente un certificat d'arrêt complet de travail établi le jour après la décision de refus de rente de l'OAI, mais que pour la période précédente, il n'y avait pas eu de tels certificats. c) Dans une procédure portant sur l’octroi ou le refus de prestations d’assurances sociales, le Tribunal fédéral a eu l'occasion de préciser que lorsqu’une décision administrative s’appuie exclusivement</w:t>
      </w:r>
    </w:p>
    <w:p>
      <w:r>
        <w:t>- 17 -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TF 8C_456/2010 du 19 avril 2011, consid. 3) (cf. TF 9C_355/2011 du 8 novembre 2011, consid. 3.2.1). En l'occurrence, la décision litigieuse se base sur l'évaluation des médecins spécialisés du SMR qui aboutit à des résultats convaincants sans qu'il n'existe d'indice concret susceptible d'en rediscuter le bien- fondé (cf. consid. 3b) et c) ci-avant). Dans ces circonstances, la recourante ne saurait se prévaloir d'un droit formel, dans la procédure d'octroi ou de refus de prestations d'assurances sociales, à une nouvelle expertise réalisée par un médecin externe à l'assurance. L'instruction étant complète sur le plan médical, il n’y a pas lieu de procéder à un complément sous la forme d’une nouvelle expertise (somatique), de sorte que la requête formulée en ce sens, par la recourante doit être rejetée par appréciation anticipée des preuves. Il en va à l'identique s'agissant de la requête tendant à l'audition du Dr N.________.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w:t>
      </w:r>
    </w:p>
    <w:p>
      <w:r>
        <w:t>- 18 - d) En conclusion, on retient que sur le plan médical, la recourante a recouvré une capacité de travail à 100 % depuis le 31 janvier 2011 dans son activité habituelle de nettoyeuse comme dans toute activité adaptée. C'est par conséquent à juste titre que l'intimé a refusé le droit aux prestations AI en constatant que l'incapacité de travail de la recourante n'a pas été d’au moins 40 % en moyenne durant une année sans interruption notable (cf. art. 28 al. 1 let. b LAI). 4. En conséquence, mal fondé, le recours est rejeté et la décision rendue le 3 octobre 2011 par l'intimé confirmée. En dérogation à l'art. 61 let. a LPGA, la procédure de recours en matière de contestations portant sur l'octroi ou le refus de prestations de l'assurance-invalidité devant le tribunal cantonal des assurances est soumise à des frais de justice (art. 69 al. 1bis LAI). En l'espèce, les frais de justice doivent être arrêtés à 400 fr. et être mis à la charge de la recourante qui succombe (art. 69 al. 1bis LAI; art. 49 al. 1 LPA-VD [loi cantonale vaudoise sur la procédure administrative du 28 octobre 2008, RSV 173.36]). Il n'y a pas lieu d'allouer de dépens dans la mesure où la recourante n'obtient pas gain de cause (art. 61 let. g LPGA; art. 55 al. 1 LPA-VD).</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