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ZD11.039037 vom 31. Juli 2012</w:t>
      </w:r>
    </w:p>
    <w:p>
      <w:r>
        <w:t>VD Tribunal cantonal, 2012-07-31, FR</w:t>
      </w:r>
    </w:p>
    <w:p>
      <w:r>
        <w:rPr>
          <w:b/>
        </w:rPr>
        <w:t xml:space="preserve">Quelle: </w:t>
      </w:r>
      <w:r>
        <w:t>https://mcp.opencaselaw.ch/entscheid/vd_gerichte_ZD11.039037</w:t>
      </w:r>
    </w:p>
    <w:p>
      <w:r>
        <w:t>FR: VD_GERICHTE ZD11.039037 du 31 juillet 2012</w:t>
      </w:r>
    </w:p>
    <w:p>
      <w:r>
        <w:t>IT: VD_GERICHTE ZD11.039037 del 31 luglio 2012</w:t>
      </w:r>
    </w:p>
    <w:p>
      <w:pPr>
        <w:pStyle w:val="Heading2"/>
      </w:pPr>
      <w:r>
        <w:t>Erwägungen</w:t>
      </w:r>
    </w:p>
    <w:p>
      <w:r>
        <w:rPr>
          <w:b/>
        </w:rPr>
        <w:t>E. 1</w:t>
      </w:r>
    </w:p>
    <w:p>
      <w:r>
        <w:t>Les dispositions de la LPGA (loi fédérale du 6 octobre 2000 sur la partie générale du droit des assurances sociales, RS 830.1) s'appliquent à l'AI (art. 1 LAI [loi fédérale du 19 juin 1959 sur l'assurance-invalidité, RS</w:t>
      </w:r>
    </w:p>
    <w:p>
      <w:r>
        <w:t>- 6 - 831.20]).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dirigé contre une décision de refus de prestations de l'assurance-invalidité, a été interjeté en temps utile devant le tribunal compétent. Respectant les autres conditions de forme prévues par la loi (art. 61 let. b LPGA notamment), il est recevable et il y a lieu d'entrer en matière.</w:t>
      </w:r>
    </w:p>
    <w:p>
      <w:r>
        <w:rPr>
          <w:b/>
        </w:rPr>
        <w:t>E. 2</w:t>
      </w:r>
    </w:p>
    <w:p>
      <w:r>
        <w:t>Le recourant critique l'évaluation du degré d'invalidité effectuée par l'intimé.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(TF 9C_900/2009 du 27 avril 2010 consid. 3.1 et la référence citée). Selon l'art. 28 al. 2 LAI, la rente est échelonnée selon le taux d'invalidité.</w:t>
      </w:r>
    </w:p>
    <w:p>
      <w:r>
        <w:rPr>
          <w:b/>
        </w:rPr>
        <w:t>E. 3</w:t>
      </w:r>
    </w:p>
    <w:p>
      <w:r>
        <w:t>S'agissant du revenu sans invalidité, le recourant soutient que l'intimé aurait dû retenir un revenu de 66'950 fr. soit le salaire qu'il aurait réalisé en 2005 s'il était resté au service de son ancien employeur, Z.________ SA.</w:t>
      </w:r>
    </w:p>
    <w:p>
      <w:r>
        <w:t>- 7 - a)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ATF 129 V 222 consid. 4.3.1; TF 9C_651/2008 du 9 octobre 2009 consid. 6.1.2.1). b) En l'espèce, pour déterminer le revenu sans invalidité, l'Office AI s'est fondé sur la convention collective de travail applicable dans le secteur du bâtiment et du génie civil, ce revenu s'élevant à 60'385 fr. en 2005. Il expose que le montant de 66'950 fr. – déterminé par la CNA – ne saurait être retenu, dans la mesure où le recourant avait annoncé sa démission à Z.________ SA le 31 janvier 2000 pour le 30 juin suivant, soit avant l'accident du 26 février 2000. Il n'aurait donc pas pu obtenir ce revenu en 2005, dès lors qu'il n'était plus au service de cet employeur. c)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w:t>
      </w:r>
    </w:p>
    <w:p>
      <w:r>
        <w:t>- 8 - décision par le deuxième assureur. Peuvent constituer des motifs suffisants de s’écarter d’une telle évaluation le fait que celle-ci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 126 V 288; cf. aussi ATF 131 V 120 consid. 3.3.3). Il est à noter que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p. 368). Récemment, le Tribunal fédéral a admis la réciprocité de cette règle à l'égard de l'assurance-invalidité en jugeant que celle-ci n'était pas liée par l'évaluation de l'invalidité de l'assurance-accidents au sens de l'arrêt publié aux ATF 126 V 288, avec comme conséquence que l'office AI n'avait pas qualité pour faire opposition à la décision ni pour recourir contre la décision sur opposition de l'assureur-accidents concernant le droit à la rente en tant que tel ou le taux d'invalidité (TF 8C_558/2008 du 17 mars 2009; ATF 133 V 549). d) En l'occurrence, aucun élément au dossier ne permet d'affirmer que le recourant aurait obtenu un revenu inférieur à 66'950 fr. en 2005, malgré sa démission. De plus, dans le cadre de la procédure conduite en matière d'assurance-accidents, ce montant n'a été contesté ni devant l'autorité de céans, ni devant le Tribunal fédéral, qui l'a confirmé (cf. arrêt du 8 septembre 2011, consid. 5.1). Ce revenu a, d'autre part, été calculé conformément à la jurisprudence citée ci-avant (cf. supra, consid. 3a) et se fonde sur un état de fait similaire à celui sur lequel s'est basé l'Office AI. Au demeurant, même s'il est hypothétique – ce qui n'est en soi pas suffisant pour l'écarter –, il ne résulte pas pour autant d'une appréciation insoutenable au point qu'il ne puisse être pris en compte dans le calcul du taux d'invalidité de l'AI. Partant, il y a lieu de retenir le</w:t>
      </w:r>
    </w:p>
    <w:p>
      <w:r>
        <w:t>- 9 - salaire que le recourant aurait perçu en 2005 au service de Z.________ SA, soit 66'950 francs.</w:t>
      </w:r>
    </w:p>
    <w:p>
      <w:r>
        <w:rPr>
          <w:b/>
        </w:rPr>
        <w:t>E. 4</w:t>
      </w:r>
    </w:p>
    <w:p>
      <w:r>
        <w:t>Dans un deuxième grief, le recourant critique le calcul du revenu d'invalide effectué par l'intimé, tout en précisant qu'il ne conteste pas le recours aux salaires statistiques. Le seul élément du calcul qu'il discute est celui du nombre d'heures de travail hebdomadaire retenu par l'Office AI, lui reprochant d'avoir retenu 41,7 au lieu de 41,6 heures pour l'année 2004. Il en résulterait ainsi, selon lui, un revenu d'invalide avant abattement de 40'483 fr. au lieu de 40'578 fr. 90. a)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(ATF 135 V 297 consid. 5.2; 129 V 472 consid. 4.2.1; TF 8C_287/2010 du 18 novembre 2010 consid. 3; TF 9C_900/2009 du 27 avril 2010 consid. 3.3). b) Dans sa réponse au recours, l'office intimé expose que cette divergence est due au fait que l'Office fédéral de la statistique (ci- après: l'OFS) aurait récemment procédé à certaines corrections de ses données, dont une modification du temps de travail moyen hebdomadaire, lequel aurait été porté de 41,6 à 41,7 heures hebdomadaires. Outre que la différence entre les deux revenus obtenus est inférieure à 100 fr., si bien qu'elle doit être qualifiée de minime, aucun élément au dossier ne permet de mettre en doute les explications de l'intimé. Pour le surplus, il ressort effectivement de la publication de l'OFS intitulée «Indicateurs du marché du travail 2011» (Neuchâtel 2011), que la durée hebdomadaire normale du travail des salariés à plein temps s'élève à 41,7 heures (tableau T31, p. 97; cf. aussi tableau T2, p. 70). Il s'ensuit que ce chiffre n'est pas</w:t>
      </w:r>
    </w:p>
    <w:p>
      <w:r>
        <w:t>- 10 - critiquable, de sorte qu'il y a lieu de confirmer le revenu hypothétique d'invalide établi par l'Office AI, soit, avant abattement, 40'578 fr. 90.</w:t>
      </w:r>
    </w:p>
    <w:p>
      <w:r>
        <w:rPr>
          <w:b/>
        </w:rPr>
        <w:t>E. 5</w:t>
      </w:r>
    </w:p>
    <w:p>
      <w:r>
        <w:t>Le recourant qualifie enfin l'abattement opéré par l'Office AI sur le revenu d'invalide de «dérisoire», eu égard aux nombreuses atteintes à la santé dont il souffre. Il demande en conséquence à pouvoir bénéficier d'un abattement d'au moins 20% au vu de l'ensemble de ses circonstances personnelles et professionnelles. a) La mesure dans laquelle les salaires ressortant des statistiques doivent être réduits dépend de l’ensemble des circonstances personnelles et professionnelles du cas particulier (limitations liées au handicap, âge, années de service, nationalité / catégorie d’autorisation de séjour et taux d’occupation). Une déduction globale maximale de 25% sur le salaire statistique permet de tenir compte des différents éléments qui peuvent influencer le revenu d’une activité lucrative (ATF 126 V 75 consid. 5b/aa-cc et les références citées). Le pouvoir d'examen de l'autorité judiciaire de première instance n'est pas limité dans ce contexte à la violation du droit (y compris l'excès ou l'abus du pouvoir d'appréciation, mais s'étend également à l'opportunité de la décision administrative (ATF 137 V 71 consid. 5.2). b) En l'espèce, l'Office AI relève qu'il ne se justifie pas de s'écarter du taux d'abattement de 5% retenu par la CNA, puisque l'hypothèse de l'existence de limitations fonctionnelles d'origine non traumatique peut être écartée. En effet, les experts neurologues F.________ et B.________ ont estimé que le traitement des syndromes d'apnée du sommeil et des jambes sans repos étaient exigibles. En outre, la dysthymie, les status après tachycardie supraventriculaire et fibrillation auriculaire paroxystique n'induisent, selon l'Office AI, aucune limitation fonctionnelle (cf. réponse au recours du 23 janvier 2012, pp. 2 et 3). L'intimé ne conteste par ailleurs pas que le recourant présente des limitations fonctionnelles de nature orthopédique et neurologique. Les premières ont été prises en considération par la CNA et ont fait l'objet d'un</w:t>
      </w:r>
    </w:p>
    <w:p>
      <w:r>
        <w:t>- 11 - abattement de 5% sur le revenu d'invalide. Les secondes ont conduit les experts neurologues à retenir une capacité de travail de 70% dans une activité réputée adaptée. Si l'Office AI estime que l'effet conjugué de ces limitations n'a que peu d'influence sur les perspectives salariales du recourant, celui-ci relève cependant que les traitements entrepris depuis l'expertise du 11 juillet 2010 n'ont pas produit les résultats escomptés s'agissant de l'apnée du sommeil tout au moins. Ainsi, contrairement à ce que prétend l'Office AI, des limitations fonctionnelles d'origine non traumatique ne sont pas sans influence sur la capacité de travail résiduelle du recourant. On peut dès lors se demander dans ce contexte si le taux d'abattement de 5% retenu n'apparaît pas trop modeste au regard des atteintes à la santé présentées par le recourant. Né en 1966, il est relativement jeune. Il est au bénéfice d'une expérience professionnelle acquise en Suisse depuis 1985; il ne présente par conséquent aucune limitation liée à l'âge ou à la nationalité. De plus, les limitations liées à son handicap ont été prises en considération de manière importante lors de l'appréciation de la capacité de travail par les experts F.________ et B.________. Le fait que le recourant ne puisse plus exercer son activité de cimentier et que seules des activités exigeant un niveau d'effort moyen entrent en considération justifie un abattement de 10% au plus. Le revenu annuel d'invalide est dès lors de 36'521 francs.</w:t>
      </w:r>
    </w:p>
    <w:p>
      <w:r>
        <w:rPr>
          <w:b/>
        </w:rPr>
        <w:t>E. 6</w:t>
      </w:r>
    </w:p>
    <w:p>
      <w:r>
        <w:t>La comparaison des revenus conduit dès lors à une invalidité de 45.4% ([66'950 – 36'521] x 100 : 66'950), taux qui donne droit à un quart de rente d'invalidité (art. 28 al. 2 LAI).</w:t>
      </w:r>
    </w:p>
    <w:p>
      <w:r>
        <w:rPr>
          <w:b/>
        </w:rPr>
        <w:t>E. 7</w:t>
      </w:r>
    </w:p>
    <w:p>
      <w:r>
        <w:t>En définitive, le recours doit être partiellement admis. Partant, la décision entreprise doit être annulée, en ce sens que le recourant a droit à un quart de rente d'invalidité dès le 1er janvier 2005 (date mentionnée dans les conclusions), dès lors que l'année d'ouverture du droit à la rente – qui n'est pas contestée par l'intimé – remonte à 2004 (cf. décision du 15 septembre 2011, p. 2).</w:t>
      </w:r>
    </w:p>
    <w:p>
      <w:r>
        <w:rPr>
          <w:b/>
        </w:rPr>
        <w:t>E. 8</w:t>
      </w:r>
    </w:p>
    <w:p>
      <w:r>
        <w:t>Représenté par un mandataire professionnel, le recourant, qui obtient gain de cause, a droit à des dépens, qu'il convient d'arrêter</w:t>
      </w:r>
    </w:p>
    <w:p>
      <w:r>
        <w:t>- 12 - équitablement à 1'500 fr. à la charge de l'Office AI, lequel, débouté, supportera les frais de la cause, arrêtés à 400 fr. (art. 69 al. 1bis LAI). Il convient de rappeler que le recourant a déjà obtenu des dépens dans le cadre de la procédure de recours devant le Tribunal des assurances (cf. arrêt CASSO AI 370/09 du 20 août 2009); l'indemnité allouée par le présent arrêt ne concerne que les opérations postérieures à l'arrêt du 18 novembre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